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10"/>
        <w:spacing w:line="360" w:lineRule="auto"/>
        <w:ind w:firstLine="0" w:firstLineChars="0"/>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r>
        <w:rPr>
          <w:rFonts w:hint="eastAsia" w:ascii="Times New Roman" w:hAnsi="Times New Roman" w:cs="Times New Roman"/>
          <w:sz w:val="30"/>
          <w:szCs w:val="30"/>
          <w:lang w:val="en-US" w:eastAsia="zh-CN"/>
        </w:rPr>
        <w:t>城西街道雪峰路与汇港路交叉口西南侧地块二</w:t>
      </w:r>
      <w:r>
        <w:rPr>
          <w:rFonts w:hint="eastAsia" w:ascii="Times New Roman" w:hAnsi="Times New Roman" w:eastAsia="宋体" w:cs="Times New Roman"/>
          <w:sz w:val="30"/>
          <w:szCs w:val="30"/>
          <w:lang w:val="en-US" w:eastAsia="zh-CN"/>
        </w:rPr>
        <w:t>第一阶段土壤污染状况调查报告的公示</w:t>
      </w:r>
    </w:p>
    <w:p w14:paraId="78251B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（1）地块</w:t>
      </w:r>
      <w:r>
        <w:rPr>
          <w:rFonts w:hint="default" w:ascii="Times New Roman" w:hAnsi="Times New Roman" w:eastAsia="宋体" w:cs="Times New Roman"/>
          <w:b/>
          <w:bCs/>
          <w:color w:val="auto"/>
          <w:sz w:val="24"/>
          <w:szCs w:val="24"/>
          <w:lang w:val="en-US" w:eastAsia="zh-CN"/>
        </w:rPr>
        <w:t>基本情况</w:t>
      </w:r>
    </w:p>
    <w:p w14:paraId="6C994E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城西街道雪峰西路与汇港路交叉口西南侧地块二</w:t>
      </w:r>
      <w:r>
        <w:rPr>
          <w:rFonts w:hint="default" w:ascii="Times New Roman" w:hAnsi="Times New Roman" w:eastAsia="宋体" w:cs="Times New Roman"/>
          <w:color w:val="auto"/>
          <w:sz w:val="24"/>
          <w:szCs w:val="24"/>
        </w:rPr>
        <w:t>位于</w:t>
      </w:r>
      <w:r>
        <w:rPr>
          <w:rFonts w:hint="default" w:ascii="Times New Roman" w:hAnsi="Times New Roman" w:eastAsia="宋体" w:cs="Times New Roman"/>
          <w:color w:val="auto"/>
          <w:sz w:val="24"/>
          <w:szCs w:val="24"/>
          <w:lang w:val="en-US" w:eastAsia="zh-CN"/>
        </w:rPr>
        <w:t>义乌市城西街道</w:t>
      </w:r>
      <w:r>
        <w:rPr>
          <w:rFonts w:hint="eastAsia" w:cs="Times New Roman"/>
          <w:color w:val="auto"/>
          <w:sz w:val="24"/>
          <w:szCs w:val="24"/>
          <w:lang w:val="en-US" w:eastAsia="zh-CN"/>
        </w:rPr>
        <w:t>雪峰西路与汇港路交叉口西南侧</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东至汇港路</w:t>
      </w:r>
      <w:r>
        <w:rPr>
          <w:rFonts w:hint="eastAsia" w:cs="Times New Roman"/>
          <w:color w:val="auto"/>
          <w:sz w:val="24"/>
          <w:szCs w:val="24"/>
          <w:lang w:val="en-US" w:eastAsia="zh-CN"/>
        </w:rPr>
        <w:t>，南至开创小区，西至山翁新村和耕地，北至耕地，总</w:t>
      </w:r>
      <w:r>
        <w:rPr>
          <w:rFonts w:hint="default" w:ascii="Times New Roman" w:hAnsi="Times New Roman" w:eastAsia="宋体" w:cs="Times New Roman"/>
          <w:color w:val="auto"/>
          <w:sz w:val="24"/>
          <w:szCs w:val="24"/>
        </w:rPr>
        <w:t>调查面积为</w:t>
      </w:r>
      <w:r>
        <w:rPr>
          <w:rFonts w:hint="eastAsia" w:cs="Times New Roman"/>
          <w:color w:val="auto"/>
          <w:sz w:val="24"/>
          <w:szCs w:val="24"/>
          <w:lang w:val="en-US" w:eastAsia="zh-CN"/>
        </w:rPr>
        <w:t>85362.98</w:t>
      </w:r>
      <w:r>
        <w:rPr>
          <w:rFonts w:hint="default" w:ascii="Times New Roman" w:hAnsi="Times New Roman" w:eastAsia="宋体" w:cs="Times New Roman"/>
          <w:color w:val="auto"/>
          <w:sz w:val="24"/>
          <w:szCs w:val="24"/>
        </w:rPr>
        <w:t>平方米，中心桩号为东经</w:t>
      </w:r>
      <w:r>
        <w:rPr>
          <w:rFonts w:hint="eastAsia" w:cs="Times New Roman"/>
          <w:color w:val="auto"/>
          <w:sz w:val="24"/>
          <w:szCs w:val="24"/>
          <w:lang w:val="en-US" w:eastAsia="zh-CN"/>
        </w:rPr>
        <w:t>120.011341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，北纬</w:t>
      </w:r>
      <w:bookmarkStart w:id="0" w:name="_GoBack"/>
      <w:bookmarkEnd w:id="0"/>
      <w:r>
        <w:rPr>
          <w:rFonts w:hint="default" w:ascii="Times New Roman" w:hAnsi="Times New Roman" w:eastAsia="宋体" w:cs="Times New Roman"/>
          <w:color w:val="auto"/>
          <w:sz w:val="24"/>
          <w:szCs w:val="24"/>
        </w:rPr>
        <w:t>29.</w:t>
      </w:r>
      <w:r>
        <w:rPr>
          <w:rFonts w:hint="eastAsia" w:cs="Times New Roman"/>
          <w:color w:val="auto"/>
          <w:sz w:val="24"/>
          <w:szCs w:val="24"/>
          <w:lang w:val="en-US" w:eastAsia="zh-CN"/>
        </w:rPr>
        <w:t>305219</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。本地块</w:t>
      </w:r>
      <w:r>
        <w:rPr>
          <w:rFonts w:hint="default" w:ascii="Times New Roman" w:hAnsi="Times New Roman" w:eastAsia="宋体" w:cs="Times New Roman"/>
          <w:color w:val="auto"/>
          <w:sz w:val="24"/>
          <w:szCs w:val="24"/>
          <w:lang w:val="en-US" w:eastAsia="zh-CN"/>
        </w:rPr>
        <w:t>原</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val="en-US" w:eastAsia="zh-CN"/>
        </w:rPr>
        <w:t>农用地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现状为</w:t>
      </w:r>
      <w:r>
        <w:rPr>
          <w:rFonts w:hint="eastAsia" w:cs="Times New Roman"/>
          <w:color w:val="auto"/>
          <w:sz w:val="24"/>
          <w:szCs w:val="24"/>
          <w:lang w:val="en-US" w:eastAsia="zh-CN"/>
        </w:rPr>
        <w:t>耕</w:t>
      </w:r>
      <w:r>
        <w:rPr>
          <w:rFonts w:hint="default" w:ascii="Times New Roman" w:hAnsi="Times New Roman" w:eastAsia="宋体" w:cs="Times New Roman"/>
          <w:color w:val="auto"/>
          <w:sz w:val="24"/>
          <w:szCs w:val="24"/>
          <w:lang w:val="en-US" w:eastAsia="zh-CN"/>
        </w:rPr>
        <w:t>地，</w:t>
      </w: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义乌</w:t>
      </w:r>
      <w:r>
        <w:rPr>
          <w:rFonts w:hint="eastAsia" w:cs="Times New Roman"/>
          <w:color w:val="auto"/>
          <w:sz w:val="24"/>
          <w:szCs w:val="24"/>
          <w:lang w:val="en-US" w:eastAsia="zh-CN"/>
        </w:rPr>
        <w:t>陆港新区LGXQ07单元（义乌公学地块）</w:t>
      </w:r>
      <w:r>
        <w:rPr>
          <w:rFonts w:hint="default" w:ascii="Times New Roman" w:hAnsi="Times New Roman" w:eastAsia="宋体" w:cs="Times New Roman"/>
          <w:color w:val="auto"/>
          <w:sz w:val="24"/>
          <w:szCs w:val="24"/>
          <w:lang w:val="en-US" w:eastAsia="zh-CN"/>
        </w:rPr>
        <w:t>控制性详细规划</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，该地块规划用途为</w:t>
      </w:r>
      <w:r>
        <w:rPr>
          <w:rFonts w:hint="default" w:ascii="Times New Roman" w:hAnsi="Times New Roman" w:cs="Times New Roman"/>
          <w:color w:val="000000"/>
          <w:sz w:val="24"/>
          <w:szCs w:val="32"/>
          <w:highlight w:val="none"/>
          <w:lang w:val="en-US" w:eastAsia="zh-CN"/>
        </w:rPr>
        <w:t>商业服务用地/居住用地（</w:t>
      </w:r>
      <w:r>
        <w:rPr>
          <w:rFonts w:hint="eastAsia" w:cs="Times New Roman"/>
          <w:color w:val="000000"/>
          <w:sz w:val="24"/>
          <w:szCs w:val="32"/>
          <w:highlight w:val="none"/>
          <w:lang w:val="en-US" w:eastAsia="zh-CN"/>
        </w:rPr>
        <w:t>B</w:t>
      </w:r>
      <w:r>
        <w:rPr>
          <w:rFonts w:hint="default" w:ascii="Times New Roman" w:hAnsi="Times New Roman" w:cs="Times New Roman"/>
          <w:color w:val="000000"/>
          <w:sz w:val="24"/>
          <w:szCs w:val="32"/>
          <w:highlight w:val="none"/>
          <w:lang w:val="en-US" w:eastAsia="zh-CN"/>
        </w:rPr>
        <w:t>/</w:t>
      </w:r>
      <w:r>
        <w:rPr>
          <w:rFonts w:hint="eastAsia" w:cs="Times New Roman"/>
          <w:color w:val="000000"/>
          <w:sz w:val="24"/>
          <w:szCs w:val="32"/>
          <w:highlight w:val="none"/>
          <w:lang w:val="en-US" w:eastAsia="zh-CN"/>
        </w:rPr>
        <w:t>R</w:t>
      </w:r>
      <w:r>
        <w:rPr>
          <w:rFonts w:hint="default" w:ascii="Times New Roman" w:hAnsi="Times New Roman" w:cs="Times New Roman"/>
          <w:color w:val="000000"/>
          <w:sz w:val="24"/>
          <w:szCs w:val="32"/>
          <w:highlight w:val="none"/>
          <w:lang w:val="en-US" w:eastAsia="zh-CN"/>
        </w:rPr>
        <w:t>）</w:t>
      </w:r>
      <w:r>
        <w:rPr>
          <w:rFonts w:hint="eastAsia" w:cs="Times New Roman"/>
          <w:color w:val="000000"/>
          <w:sz w:val="24"/>
          <w:szCs w:val="32"/>
          <w:highlight w:val="none"/>
          <w:lang w:val="en-US" w:eastAsia="zh-CN"/>
        </w:rPr>
        <w:t>和居住用地（R2）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为《国土空间调查、规划、用途管制用地用海分类指南》（2023年11月）中的</w:t>
      </w:r>
      <w:r>
        <w:rPr>
          <w:rFonts w:hint="default" w:ascii="Times New Roman" w:hAnsi="Times New Roman" w:cs="Times New Roman"/>
          <w:color w:val="000000"/>
          <w:sz w:val="24"/>
          <w:szCs w:val="32"/>
          <w:highlight w:val="none"/>
          <w:lang w:val="en-US" w:eastAsia="zh-CN"/>
        </w:rPr>
        <w:t>城镇住宅用地（0701）、商业用地（0901）</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属</w:t>
      </w:r>
      <w:r>
        <w:rPr>
          <w:rFonts w:hint="default" w:ascii="Times New Roman" w:hAnsi="Times New Roman" w:eastAsia="宋体" w:cs="Times New Roman"/>
          <w:color w:val="auto"/>
          <w:sz w:val="24"/>
          <w:szCs w:val="24"/>
          <w:lang w:val="en-US" w:eastAsia="zh-CN"/>
        </w:rPr>
        <w:t>敏感用地。</w:t>
      </w:r>
    </w:p>
    <w:p w14:paraId="6EB38C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color w:val="0000FF"/>
          <w:lang w:eastAsia="zh-CN"/>
        </w:rPr>
      </w:pPr>
      <w:r>
        <w:rPr>
          <w:rFonts w:hint="default" w:ascii="Times New Roman" w:hAnsi="Times New Roman" w:eastAsia="宋体" w:cs="Times New Roman"/>
          <w:color w:val="auto"/>
          <w:sz w:val="24"/>
          <w:szCs w:val="24"/>
        </w:rPr>
        <w:t>根据《中华人民共和国土壤污染防治法》（2019年1月1日起实施）第五十九条，用途变更为住宅、公共管理与公共服务用地的地块，变更前应当按照规定进行土壤污染状况调查。《浙江省建设用地土壤污染风险管控和修复监督管理办法</w:t>
      </w:r>
      <w:r>
        <w:rPr>
          <w:rFonts w:hint="eastAsia" w:cs="Times New Roman"/>
          <w:color w:val="auto"/>
          <w:sz w:val="24"/>
          <w:szCs w:val="24"/>
          <w:lang w:eastAsia="zh-CN"/>
        </w:rPr>
        <w:t>（</w:t>
      </w:r>
      <w:r>
        <w:rPr>
          <w:rFonts w:hint="eastAsia" w:cs="Times New Roman"/>
          <w:color w:val="auto"/>
          <w:sz w:val="24"/>
          <w:szCs w:val="24"/>
          <w:lang w:val="en-US" w:eastAsia="zh-CN"/>
        </w:rPr>
        <w:t>修订）</w:t>
      </w:r>
      <w:r>
        <w:rPr>
          <w:rFonts w:hint="default" w:ascii="Times New Roman" w:hAnsi="Times New Roman" w:eastAsia="宋体" w:cs="Times New Roman"/>
          <w:color w:val="auto"/>
          <w:sz w:val="24"/>
          <w:szCs w:val="24"/>
        </w:rPr>
        <w:t>》（浙环发〔202</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47</w:t>
      </w:r>
      <w:r>
        <w:rPr>
          <w:rFonts w:hint="default" w:ascii="Times New Roman" w:hAnsi="Times New Roman" w:eastAsia="宋体" w:cs="Times New Roman"/>
          <w:color w:val="auto"/>
          <w:sz w:val="24"/>
          <w:szCs w:val="24"/>
        </w:rPr>
        <w:t>号）第七条规定，</w:t>
      </w:r>
      <w:r>
        <w:rPr>
          <w:rFonts w:hint="default" w:ascii="Times New Roman" w:hAnsi="Times New Roman" w:eastAsia="宋体" w:cs="Times New Roman"/>
          <w:color w:val="auto"/>
          <w:sz w:val="24"/>
          <w:szCs w:val="24"/>
          <w:lang w:val="en-US" w:eastAsia="zh-CN"/>
        </w:rPr>
        <w:t>本地块属于用途变更地块</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原</w:t>
      </w:r>
      <w:r>
        <w:rPr>
          <w:rFonts w:hint="eastAsia" w:cs="Times New Roman"/>
          <w:color w:val="auto"/>
          <w:sz w:val="24"/>
          <w:szCs w:val="24"/>
          <w:lang w:val="en-US" w:eastAsia="zh-CN"/>
        </w:rPr>
        <w:t>用地性质</w:t>
      </w:r>
      <w:r>
        <w:rPr>
          <w:rFonts w:hint="default" w:ascii="Times New Roman" w:hAnsi="Times New Roman" w:eastAsia="宋体" w:cs="Times New Roman"/>
          <w:color w:val="auto"/>
          <w:sz w:val="24"/>
          <w:szCs w:val="24"/>
          <w:lang w:val="en-US" w:eastAsia="zh-CN"/>
        </w:rPr>
        <w:t>为</w:t>
      </w:r>
      <w:r>
        <w:rPr>
          <w:rFonts w:hint="eastAsia" w:cs="Times New Roman"/>
          <w:color w:val="auto"/>
          <w:sz w:val="24"/>
          <w:szCs w:val="24"/>
          <w:lang w:val="en-US" w:eastAsia="zh-CN"/>
        </w:rPr>
        <w:t>农用地</w:t>
      </w:r>
      <w:r>
        <w:rPr>
          <w:rFonts w:hint="default" w:ascii="Times New Roman" w:hAnsi="Times New Roman" w:eastAsia="宋体" w:cs="Times New Roman"/>
          <w:color w:val="auto"/>
          <w:sz w:val="24"/>
          <w:szCs w:val="24"/>
          <w:lang w:val="en-US" w:eastAsia="zh-CN"/>
        </w:rPr>
        <w:t>，现</w:t>
      </w:r>
      <w:r>
        <w:rPr>
          <w:rFonts w:hint="default" w:ascii="Times New Roman" w:hAnsi="Times New Roman" w:eastAsia="宋体" w:cs="Times New Roman"/>
          <w:color w:val="auto"/>
          <w:sz w:val="24"/>
          <w:szCs w:val="24"/>
        </w:rPr>
        <w:t>地块规划用途为</w:t>
      </w:r>
      <w:r>
        <w:rPr>
          <w:rFonts w:hint="default" w:ascii="Times New Roman" w:hAnsi="Times New Roman" w:cs="Times New Roman"/>
          <w:color w:val="000000"/>
          <w:sz w:val="24"/>
          <w:szCs w:val="32"/>
          <w:highlight w:val="none"/>
          <w:lang w:val="en-US" w:eastAsia="zh-CN"/>
        </w:rPr>
        <w:t>居住用地/商业服务用地</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属敏感用地，为甲类地块，</w:t>
      </w:r>
      <w:r>
        <w:rPr>
          <w:rFonts w:hint="default" w:ascii="Times New Roman" w:hAnsi="Times New Roman" w:eastAsia="宋体" w:cs="Times New Roman"/>
          <w:color w:val="auto"/>
          <w:sz w:val="24"/>
          <w:szCs w:val="24"/>
        </w:rPr>
        <w:t>责任人应按规定进行土壤污染状况调查，</w:t>
      </w:r>
      <w:r>
        <w:rPr>
          <w:rFonts w:hint="eastAsia" w:cs="Times New Roman"/>
          <w:color w:val="auto"/>
          <w:sz w:val="24"/>
          <w:szCs w:val="24"/>
          <w:lang w:val="en-US" w:eastAsia="zh-CN"/>
        </w:rPr>
        <w:t>浙江新环环保科技有限公司</w:t>
      </w:r>
      <w:r>
        <w:rPr>
          <w:rFonts w:hint="default" w:ascii="Times New Roman" w:hAnsi="Times New Roman" w:eastAsia="宋体" w:cs="Times New Roman"/>
          <w:color w:val="auto"/>
          <w:sz w:val="24"/>
          <w:szCs w:val="24"/>
        </w:rPr>
        <w:t>受</w:t>
      </w:r>
      <w:r>
        <w:rPr>
          <w:rFonts w:hint="default" w:ascii="Times New Roman" w:hAnsi="Times New Roman" w:eastAsia="宋体" w:cs="Times New Roman"/>
          <w:color w:val="auto"/>
          <w:sz w:val="24"/>
          <w:szCs w:val="24"/>
          <w:lang w:val="en-US" w:eastAsia="zh-CN"/>
        </w:rPr>
        <w:t>义乌市</w:t>
      </w:r>
      <w:r>
        <w:rPr>
          <w:rFonts w:hint="eastAsia" w:cs="Times New Roman"/>
          <w:color w:val="auto"/>
          <w:sz w:val="24"/>
          <w:szCs w:val="24"/>
          <w:lang w:val="en-US" w:eastAsia="zh-CN"/>
        </w:rPr>
        <w:t>人民政府城西</w:t>
      </w:r>
      <w:r>
        <w:rPr>
          <w:rFonts w:hint="default" w:ascii="Times New Roman" w:hAnsi="Times New Roman" w:eastAsia="宋体" w:cs="Times New Roman"/>
          <w:color w:val="auto"/>
          <w:sz w:val="24"/>
          <w:szCs w:val="24"/>
          <w:lang w:val="en-US" w:eastAsia="zh-CN"/>
        </w:rPr>
        <w:t>街道办事处</w:t>
      </w:r>
      <w:r>
        <w:rPr>
          <w:rFonts w:hint="default" w:ascii="Times New Roman" w:hAnsi="Times New Roman" w:eastAsia="宋体" w:cs="Times New Roman"/>
          <w:color w:val="auto"/>
          <w:sz w:val="24"/>
          <w:szCs w:val="24"/>
        </w:rPr>
        <w:t>委托，承担了</w:t>
      </w:r>
      <w:r>
        <w:rPr>
          <w:rFonts w:hint="eastAsia" w:cs="Times New Roman"/>
          <w:color w:val="auto"/>
          <w:sz w:val="24"/>
          <w:szCs w:val="24"/>
          <w:lang w:val="en-US" w:eastAsia="zh-CN"/>
        </w:rPr>
        <w:t>城西街道雪峰西路与汇港路交叉口西南侧地块二</w:t>
      </w:r>
      <w:r>
        <w:rPr>
          <w:rFonts w:hint="default" w:ascii="Times New Roman" w:hAnsi="Times New Roman" w:eastAsia="宋体" w:cs="Times New Roman"/>
          <w:color w:val="auto"/>
          <w:sz w:val="24"/>
          <w:szCs w:val="24"/>
        </w:rPr>
        <w:t>的土壤污染状况调查工作。</w:t>
      </w:r>
    </w:p>
    <w:p w14:paraId="0D0A6A4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szCs w:val="24"/>
          <w:lang w:val="en-US" w:eastAsia="zh-CN"/>
        </w:rPr>
        <w:t>（2）地块</w:t>
      </w:r>
      <w:r>
        <w:rPr>
          <w:rFonts w:hint="eastAsia" w:cs="Times New Roman"/>
          <w:b/>
          <w:bCs/>
          <w:sz w:val="24"/>
          <w:szCs w:val="24"/>
          <w:lang w:val="en-US" w:eastAsia="zh-CN"/>
        </w:rPr>
        <w:t>和周边地块</w:t>
      </w:r>
      <w:r>
        <w:rPr>
          <w:rFonts w:hint="default" w:ascii="Times New Roman" w:hAnsi="Times New Roman" w:eastAsia="宋体" w:cs="Times New Roman"/>
          <w:b/>
          <w:bCs/>
          <w:sz w:val="24"/>
          <w:szCs w:val="24"/>
          <w:lang w:val="en-US" w:eastAsia="zh-CN"/>
        </w:rPr>
        <w:t>调查结果</w:t>
      </w:r>
    </w:p>
    <w:p w14:paraId="6373694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s="Times New Roman"/>
          <w:sz w:val="24"/>
          <w:szCs w:val="24"/>
          <w:highlight w:val="none"/>
          <w:lang w:val="en-US" w:eastAsia="zh-CN"/>
        </w:rPr>
      </w:pPr>
      <w:r>
        <w:rPr>
          <w:rFonts w:hint="default" w:ascii="Times New Roman" w:hAnsi="Times New Roman" w:eastAsia="宋体" w:cs="Times New Roman"/>
          <w:color w:val="auto"/>
          <w:sz w:val="24"/>
          <w:szCs w:val="24"/>
          <w:highlight w:val="none"/>
        </w:rPr>
        <w:t>通过现场踏勘、人员访谈以及查阅历史资料可知</w:t>
      </w:r>
      <w:r>
        <w:rPr>
          <w:rFonts w:hint="default" w:ascii="Times New Roman" w:hAnsi="Times New Roman" w:eastAsia="宋体" w:cs="Times New Roman"/>
          <w:sz w:val="24"/>
          <w:szCs w:val="24"/>
          <w:highlight w:val="none"/>
          <w:lang w:val="en-US" w:eastAsia="zh-CN"/>
        </w:rPr>
        <w:t>调查地块</w:t>
      </w:r>
      <w:r>
        <w:rPr>
          <w:rFonts w:hint="eastAsia" w:cs="Times New Roman"/>
          <w:sz w:val="24"/>
          <w:szCs w:val="24"/>
          <w:highlight w:val="none"/>
          <w:lang w:val="en-US" w:eastAsia="zh-CN"/>
        </w:rPr>
        <w:t>历史上</w:t>
      </w:r>
      <w:r>
        <w:rPr>
          <w:rFonts w:hint="default" w:ascii="Times New Roman" w:hAnsi="Times New Roman" w:eastAsia="宋体" w:cs="Times New Roman"/>
          <w:sz w:val="24"/>
          <w:szCs w:val="24"/>
          <w:highlight w:val="none"/>
          <w:lang w:val="en-US" w:eastAsia="zh-CN"/>
        </w:rPr>
        <w:t>为</w:t>
      </w:r>
      <w:r>
        <w:rPr>
          <w:rFonts w:hint="default" w:ascii="Times New Roman" w:hAnsi="Times New Roman" w:eastAsia="宋体" w:cs="Times New Roman"/>
          <w:sz w:val="24"/>
          <w:lang w:val="en-US" w:eastAsia="zh-CN"/>
        </w:rPr>
        <w:t>耕地、池塘、</w:t>
      </w:r>
      <w:r>
        <w:rPr>
          <w:rFonts w:hint="eastAsia" w:ascii="Times New Roman" w:hAnsi="Times New Roman" w:eastAsia="宋体" w:cs="Times New Roman"/>
          <w:sz w:val="24"/>
          <w:lang w:val="en-US" w:eastAsia="zh-CN"/>
        </w:rPr>
        <w:t>村落</w:t>
      </w:r>
      <w:r>
        <w:rPr>
          <w:rFonts w:hint="eastAsia" w:cs="Times New Roman"/>
          <w:sz w:val="24"/>
          <w:szCs w:val="24"/>
          <w:highlight w:val="none"/>
          <w:lang w:val="en-US" w:eastAsia="zh-CN"/>
        </w:rPr>
        <w:t>，现为空地；</w:t>
      </w:r>
      <w:r>
        <w:rPr>
          <w:rFonts w:hint="default" w:ascii="Times New Roman" w:hAnsi="Times New Roman" w:eastAsia="宋体" w:cs="Times New Roman"/>
          <w:sz w:val="24"/>
          <w:szCs w:val="24"/>
          <w:lang w:val="en-US" w:eastAsia="zh-CN"/>
        </w:rPr>
        <w:t>地块四周历史</w:t>
      </w:r>
      <w:r>
        <w:rPr>
          <w:rFonts w:hint="eastAsia" w:cs="Times New Roman"/>
          <w:sz w:val="24"/>
          <w:szCs w:val="24"/>
          <w:lang w:val="en-US" w:eastAsia="zh-CN"/>
        </w:rPr>
        <w:t>上存在耕地、道路、池塘，现为</w:t>
      </w:r>
      <w:r>
        <w:rPr>
          <w:rFonts w:hint="eastAsia" w:ascii="Times New Roman" w:hAnsi="Times New Roman" w:eastAsia="宋体" w:cs="Times New Roman"/>
          <w:color w:val="auto"/>
          <w:sz w:val="24"/>
          <w:szCs w:val="24"/>
          <w:lang w:val="en-US" w:eastAsia="zh-CN"/>
        </w:rPr>
        <w:t>地块</w:t>
      </w:r>
      <w:r>
        <w:rPr>
          <w:rFonts w:hint="default" w:ascii="Times New Roman" w:hAnsi="Times New Roman" w:eastAsia="宋体" w:cs="Times New Roman"/>
          <w:color w:val="auto"/>
          <w:sz w:val="24"/>
          <w:szCs w:val="24"/>
          <w:lang w:val="en-US" w:eastAsia="zh-CN"/>
        </w:rPr>
        <w:t>东</w:t>
      </w:r>
      <w:r>
        <w:rPr>
          <w:rFonts w:hint="eastAsia" w:ascii="Times New Roman" w:hAnsi="Times New Roman" w:eastAsia="宋体" w:cs="Times New Roman"/>
          <w:color w:val="auto"/>
          <w:sz w:val="24"/>
          <w:szCs w:val="24"/>
          <w:lang w:val="en-US" w:eastAsia="zh-CN"/>
        </w:rPr>
        <w:t>侧</w:t>
      </w:r>
      <w:r>
        <w:rPr>
          <w:rFonts w:hint="eastAsia" w:cs="Times New Roman"/>
          <w:color w:val="auto"/>
          <w:sz w:val="24"/>
          <w:szCs w:val="24"/>
          <w:lang w:val="en-US" w:eastAsia="zh-CN"/>
        </w:rPr>
        <w:t>为维也纳酒店和西景悦府，北侧、西侧均</w:t>
      </w:r>
      <w:r>
        <w:rPr>
          <w:rFonts w:hint="eastAsia" w:ascii="Times New Roman" w:hAnsi="Times New Roman" w:eastAsia="宋体" w:cs="Times New Roman"/>
          <w:color w:val="auto"/>
          <w:sz w:val="24"/>
          <w:szCs w:val="24"/>
          <w:lang w:val="en-US" w:eastAsia="zh-CN"/>
        </w:rPr>
        <w:t>为</w:t>
      </w:r>
      <w:r>
        <w:rPr>
          <w:rFonts w:hint="eastAsia" w:cs="Times New Roman"/>
          <w:color w:val="auto"/>
          <w:sz w:val="24"/>
          <w:szCs w:val="24"/>
          <w:lang w:val="en-US" w:eastAsia="zh-CN"/>
        </w:rPr>
        <w:t>空地</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highlight w:val="none"/>
          <w:lang w:val="en-US" w:eastAsia="zh-CN"/>
        </w:rPr>
        <w:t>南侧为开创小区。</w:t>
      </w:r>
      <w:r>
        <w:rPr>
          <w:rFonts w:hint="eastAsia" w:cs="Times New Roman"/>
          <w:sz w:val="24"/>
          <w:szCs w:val="24"/>
          <w:highlight w:val="none"/>
          <w:lang w:val="en-US" w:eastAsia="zh-CN"/>
        </w:rPr>
        <w:t>本地块内土壤颜色气味正常，未见污染痕迹。</w:t>
      </w:r>
    </w:p>
    <w:p w14:paraId="48C5FAA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sz w:val="24"/>
          <w:highlight w:val="none"/>
          <w:lang w:val="en-US" w:eastAsia="zh-CN"/>
        </w:rPr>
      </w:pPr>
      <w:r>
        <w:rPr>
          <w:rFonts w:hint="eastAsia" w:cs="Times New Roman"/>
          <w:sz w:val="24"/>
          <w:szCs w:val="24"/>
          <w:highlight w:val="none"/>
          <w:lang w:val="en-US" w:eastAsia="zh-CN"/>
        </w:rPr>
        <w:t>耕地主要用于附近村民自种时令蔬菜。农作物</w:t>
      </w:r>
      <w:r>
        <w:rPr>
          <w:rFonts w:hint="eastAsia" w:cs="Times New Roman"/>
          <w:sz w:val="24"/>
          <w:highlight w:val="none"/>
          <w:lang w:val="en-US" w:eastAsia="zh-CN"/>
        </w:rPr>
        <w:t>种植</w:t>
      </w:r>
      <w:r>
        <w:rPr>
          <w:rFonts w:hint="default" w:ascii="Times New Roman" w:hAnsi="Times New Roman" w:eastAsia="宋体" w:cs="Times New Roman"/>
          <w:sz w:val="24"/>
          <w:highlight w:val="none"/>
          <w:lang w:val="en-US" w:eastAsia="zh-CN"/>
        </w:rPr>
        <w:t>期间可能会使用农药驱虫，使用量较少</w:t>
      </w:r>
      <w:r>
        <w:rPr>
          <w:rFonts w:hint="eastAsia" w:cs="Times New Roman"/>
          <w:sz w:val="24"/>
          <w:highlight w:val="none"/>
          <w:lang w:val="en-US" w:eastAsia="zh-CN"/>
        </w:rPr>
        <w:t>，在时间作用消减下</w:t>
      </w:r>
      <w:r>
        <w:rPr>
          <w:rFonts w:hint="default" w:ascii="Times New Roman" w:hAnsi="Times New Roman" w:eastAsia="宋体" w:cs="Times New Roman"/>
          <w:sz w:val="24"/>
          <w:highlight w:val="none"/>
          <w:lang w:val="en-US" w:eastAsia="zh-CN"/>
        </w:rPr>
        <w:t>农药残留的可能性较小，对土壤环境影响较小</w:t>
      </w:r>
      <w:r>
        <w:rPr>
          <w:rFonts w:hint="eastAsia" w:cs="Times New Roman"/>
          <w:sz w:val="24"/>
          <w:highlight w:val="none"/>
          <w:lang w:val="en-US" w:eastAsia="zh-CN"/>
        </w:rPr>
        <w:t>；池塘主要用于周边耕地浇灌，不涉及水产养殖，地块内池填土来源为地块附近的山体开挖的土石方。</w:t>
      </w:r>
      <w:r>
        <w:rPr>
          <w:rFonts w:hint="eastAsia" w:cs="Times New Roman"/>
          <w:sz w:val="24"/>
          <w:szCs w:val="24"/>
          <w:highlight w:val="none"/>
          <w:lang w:val="en-US" w:eastAsia="zh-CN"/>
        </w:rPr>
        <w:t>综上所述，地块及相邻地块不存在污染源。</w:t>
      </w:r>
    </w:p>
    <w:p w14:paraId="434B34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cs="Times New Roman"/>
          <w:b/>
          <w:bCs/>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（3）</w:t>
      </w:r>
      <w:r>
        <w:rPr>
          <w:rFonts w:hint="eastAsia" w:cs="Times New Roman"/>
          <w:b/>
          <w:bCs/>
          <w:color w:val="auto"/>
          <w:sz w:val="24"/>
          <w:szCs w:val="24"/>
          <w:lang w:val="en-US" w:eastAsia="zh-CN"/>
        </w:rPr>
        <w:t>现场快筛结果</w:t>
      </w:r>
    </w:p>
    <w:p w14:paraId="448D09C7">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outlineLvl w:val="9"/>
        <w:rPr>
          <w:rFonts w:hint="default" w:ascii="Times New Roman" w:hAnsi="Times New Roman" w:eastAsia="宋体" w:cs="Times New Roman"/>
          <w:sz w:val="24"/>
          <w:szCs w:val="24"/>
          <w:lang w:val="en-US" w:eastAsia="zh-CN"/>
        </w:rPr>
      </w:pPr>
      <w:r>
        <w:rPr>
          <w:rFonts w:hint="eastAsia" w:cs="Times New Roman"/>
          <w:sz w:val="24"/>
          <w:szCs w:val="24"/>
          <w:highlight w:val="none"/>
          <w:lang w:val="en-US" w:eastAsia="zh-CN"/>
        </w:rPr>
        <w:t>于2024年12月30日对地块及周边区域进行土壤快筛采样检测，参考《土壤环境质量建设用地土壤污染风险管控标准（试行）》 （GB36600-2018）基本项目中重金属指标及现场快筛设备监测能力现场土壤快筛监测项目选择铜、镍、铅、砷、镉、汞、总铬及</w:t>
      </w:r>
      <w:r>
        <w:rPr>
          <w:rFonts w:hint="default" w:cs="Times New Roman"/>
          <w:sz w:val="24"/>
          <w:szCs w:val="24"/>
          <w:highlight w:val="none"/>
          <w:lang w:val="en-US" w:eastAsia="zh-CN"/>
        </w:rPr>
        <w:t>VOCs</w:t>
      </w:r>
      <w:r>
        <w:rPr>
          <w:rFonts w:hint="eastAsia" w:cs="Times New Roman"/>
          <w:sz w:val="24"/>
          <w:szCs w:val="24"/>
          <w:highlight w:val="none"/>
          <w:lang w:val="en-US" w:eastAsia="zh-CN"/>
        </w:rPr>
        <w:t>作为重金属污染分析项。由检测结果分析得知，总铬满足《建设用地土壤污染风险评估技术导则》（</w:t>
      </w:r>
      <w:r>
        <w:rPr>
          <w:rFonts w:hint="default" w:cs="Times New Roman"/>
          <w:sz w:val="24"/>
          <w:szCs w:val="24"/>
          <w:highlight w:val="none"/>
          <w:lang w:val="en-US" w:eastAsia="zh-CN"/>
        </w:rPr>
        <w:t>DB33/T892-2022</w:t>
      </w:r>
      <w:r>
        <w:rPr>
          <w:rFonts w:hint="eastAsia" w:cs="Times New Roman"/>
          <w:sz w:val="24"/>
          <w:szCs w:val="24"/>
          <w:highlight w:val="none"/>
          <w:lang w:val="en-US" w:eastAsia="zh-CN"/>
        </w:rPr>
        <w:t xml:space="preserve">）中表 </w:t>
      </w:r>
      <w:r>
        <w:rPr>
          <w:rFonts w:hint="default" w:cs="Times New Roman"/>
          <w:sz w:val="24"/>
          <w:szCs w:val="24"/>
          <w:highlight w:val="none"/>
          <w:lang w:val="en-US" w:eastAsia="zh-CN"/>
        </w:rPr>
        <w:t xml:space="preserve">A.2 </w:t>
      </w:r>
      <w:r>
        <w:rPr>
          <w:rFonts w:hint="eastAsia" w:cs="Times New Roman"/>
          <w:sz w:val="24"/>
          <w:szCs w:val="24"/>
          <w:highlight w:val="none"/>
          <w:lang w:val="en-US" w:eastAsia="zh-CN"/>
        </w:rPr>
        <w:t>建设用地土壤污染物风险评估筛选值其他项目中的敏感用地筛选值，其余监测因子满足《土壤环境质量建设用地土壤污染风险管控标准（试行）》（</w:t>
      </w:r>
      <w:r>
        <w:rPr>
          <w:rFonts w:hint="default" w:cs="Times New Roman"/>
          <w:sz w:val="24"/>
          <w:szCs w:val="24"/>
          <w:highlight w:val="none"/>
          <w:lang w:val="en-US" w:eastAsia="zh-CN"/>
        </w:rPr>
        <w:t>GB36600-2018</w:t>
      </w:r>
      <w:r>
        <w:rPr>
          <w:rFonts w:hint="eastAsia" w:cs="Times New Roman"/>
          <w:sz w:val="24"/>
          <w:szCs w:val="24"/>
          <w:highlight w:val="none"/>
          <w:lang w:val="en-US" w:eastAsia="zh-CN"/>
        </w:rPr>
        <w:t>）中第一类用地质量标准筛选值。</w:t>
      </w:r>
      <w:r>
        <w:rPr>
          <w:rFonts w:hint="default" w:ascii="Times New Roman" w:hAnsi="Times New Roman" w:eastAsia="宋体" w:cs="Times New Roman"/>
          <w:sz w:val="24"/>
          <w:szCs w:val="24"/>
          <w:lang w:val="en-US" w:eastAsia="zh-CN"/>
        </w:rPr>
        <w:t>本次调查对地块内土壤表层样进行了现场快速检测，地块内设置</w:t>
      </w:r>
      <w:r>
        <w:rPr>
          <w:rFonts w:hint="eastAsia" w:cs="Times New Roman"/>
          <w:sz w:val="24"/>
          <w:szCs w:val="24"/>
          <w:lang w:val="en-US" w:eastAsia="zh-CN"/>
        </w:rPr>
        <w:t>34</w:t>
      </w:r>
      <w:r>
        <w:rPr>
          <w:rFonts w:hint="default" w:ascii="Times New Roman" w:hAnsi="Times New Roman" w:eastAsia="宋体" w:cs="Times New Roman"/>
          <w:sz w:val="24"/>
          <w:szCs w:val="24"/>
          <w:lang w:val="en-US" w:eastAsia="zh-CN"/>
        </w:rPr>
        <w:t>个快筛点位，1个对照点布设在地块外</w:t>
      </w:r>
      <w:r>
        <w:rPr>
          <w:rFonts w:hint="eastAsia" w:cs="Times New Roman"/>
          <w:sz w:val="24"/>
          <w:szCs w:val="24"/>
          <w:lang w:val="en-US" w:eastAsia="zh-CN"/>
        </w:rPr>
        <w:t>北</w:t>
      </w:r>
      <w:r>
        <w:rPr>
          <w:rFonts w:hint="default" w:ascii="Times New Roman" w:hAnsi="Times New Roman" w:eastAsia="宋体" w:cs="Times New Roman"/>
          <w:sz w:val="24"/>
          <w:szCs w:val="24"/>
          <w:lang w:val="en-US" w:eastAsia="zh-CN"/>
        </w:rPr>
        <w:t>侧 。通过现场快筛结果分析，地块内PID现场检出响应值为</w:t>
      </w:r>
      <w:r>
        <w:rPr>
          <w:rFonts w:hint="eastAsia" w:cs="Times New Roman"/>
          <w:sz w:val="24"/>
          <w:szCs w:val="24"/>
          <w:lang w:val="en-US" w:eastAsia="zh-CN"/>
        </w:rPr>
        <w:t>0.328~1.694</w:t>
      </w:r>
      <w:r>
        <w:rPr>
          <w:rFonts w:hint="default" w:ascii="Times New Roman" w:hAnsi="Times New Roman" w:eastAsia="宋体" w:cs="Times New Roman"/>
          <w:sz w:val="24"/>
          <w:szCs w:val="24"/>
          <w:lang w:val="en-US" w:eastAsia="zh-CN"/>
        </w:rPr>
        <w:t>ppm，地块外对照点PID 快速检测结果为</w:t>
      </w:r>
      <w:r>
        <w:rPr>
          <w:rFonts w:hint="eastAsia" w:cs="Times New Roman"/>
          <w:sz w:val="24"/>
          <w:szCs w:val="24"/>
          <w:lang w:val="en-US" w:eastAsia="zh-CN"/>
        </w:rPr>
        <w:t>0.528</w:t>
      </w:r>
      <w:r>
        <w:rPr>
          <w:rFonts w:hint="default" w:ascii="Times New Roman" w:hAnsi="Times New Roman" w:eastAsia="宋体" w:cs="Times New Roman"/>
          <w:sz w:val="24"/>
          <w:szCs w:val="24"/>
          <w:lang w:val="en-US" w:eastAsia="zh-CN"/>
        </w:rPr>
        <w:t>ppm，</w:t>
      </w:r>
      <w:r>
        <w:rPr>
          <w:rFonts w:hint="default" w:ascii="Times New Roman" w:hAnsi="Times New Roman" w:cs="Times New Roman"/>
          <w:sz w:val="24"/>
          <w:szCs w:val="24"/>
          <w:lang w:val="en-US" w:eastAsia="zh-CN"/>
        </w:rPr>
        <w:t>结果表明</w:t>
      </w:r>
      <w:r>
        <w:rPr>
          <w:rFonts w:hint="default" w:ascii="Times New Roman" w:hAnsi="Times New Roman" w:eastAsia="宋体" w:cs="Times New Roman"/>
          <w:sz w:val="24"/>
          <w:szCs w:val="24"/>
          <w:lang w:val="en-US" w:eastAsia="zh-CN"/>
        </w:rPr>
        <w:t>土壤总挥发性有机物浓度较低；地块内现场 XRF 重金属快速检测结果显示镉为</w:t>
      </w:r>
      <w:r>
        <w:rPr>
          <w:rFonts w:hint="eastAsia" w:cs="Times New Roman"/>
          <w:sz w:val="24"/>
          <w:szCs w:val="24"/>
          <w:highlight w:val="none"/>
          <w:lang w:val="en-US" w:eastAsia="zh-CN"/>
        </w:rPr>
        <w:t>0.04</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0.46</w:t>
      </w:r>
      <w:r>
        <w:rPr>
          <w:rFonts w:hint="default" w:ascii="Times New Roman" w:hAnsi="Times New Roman" w:eastAsia="宋体" w:cs="Times New Roman"/>
          <w:sz w:val="24"/>
          <w:szCs w:val="24"/>
          <w:highlight w:val="none"/>
          <w:lang w:val="en-US" w:eastAsia="zh-CN"/>
        </w:rPr>
        <w:t>ppm，汞为</w:t>
      </w:r>
      <w:r>
        <w:rPr>
          <w:rFonts w:hint="eastAsia" w:cs="Times New Roman"/>
          <w:sz w:val="24"/>
          <w:szCs w:val="24"/>
          <w:highlight w:val="none"/>
          <w:lang w:val="en-US" w:eastAsia="zh-CN"/>
        </w:rPr>
        <w:t>0.01</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0.31</w:t>
      </w:r>
      <w:r>
        <w:rPr>
          <w:rFonts w:hint="default" w:ascii="Times New Roman" w:hAnsi="Times New Roman" w:eastAsia="宋体" w:cs="Times New Roman"/>
          <w:sz w:val="24"/>
          <w:szCs w:val="24"/>
          <w:highlight w:val="none"/>
          <w:lang w:val="en-US" w:eastAsia="zh-CN"/>
        </w:rPr>
        <w:t>ppm，砷为</w:t>
      </w:r>
      <w:r>
        <w:rPr>
          <w:rFonts w:hint="eastAsia" w:cs="Times New Roman"/>
          <w:sz w:val="24"/>
          <w:szCs w:val="24"/>
          <w:highlight w:val="none"/>
          <w:lang w:val="en-US" w:eastAsia="zh-CN"/>
        </w:rPr>
        <w:t>3.94</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16.21</w:t>
      </w:r>
      <w:r>
        <w:rPr>
          <w:rFonts w:hint="default" w:ascii="Times New Roman" w:hAnsi="Times New Roman" w:eastAsia="宋体" w:cs="Times New Roman"/>
          <w:sz w:val="24"/>
          <w:szCs w:val="24"/>
          <w:highlight w:val="none"/>
          <w:lang w:val="en-US" w:eastAsia="zh-CN"/>
        </w:rPr>
        <w:t>ppm，铜为</w:t>
      </w:r>
      <w:r>
        <w:rPr>
          <w:rFonts w:hint="eastAsia" w:cs="Times New Roman"/>
          <w:sz w:val="24"/>
          <w:szCs w:val="24"/>
          <w:highlight w:val="none"/>
          <w:lang w:val="en-US" w:eastAsia="zh-CN"/>
        </w:rPr>
        <w:t>9.05</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39.96</w:t>
      </w:r>
      <w:r>
        <w:rPr>
          <w:rFonts w:hint="default" w:ascii="Times New Roman" w:hAnsi="Times New Roman" w:eastAsia="宋体" w:cs="Times New Roman"/>
          <w:sz w:val="24"/>
          <w:szCs w:val="24"/>
          <w:highlight w:val="none"/>
          <w:lang w:val="en-US" w:eastAsia="zh-CN"/>
        </w:rPr>
        <w:t>ppm，铅为</w:t>
      </w:r>
      <w:r>
        <w:rPr>
          <w:rFonts w:hint="eastAsia" w:cs="Times New Roman"/>
          <w:sz w:val="24"/>
          <w:szCs w:val="24"/>
          <w:highlight w:val="none"/>
          <w:lang w:val="en-US" w:eastAsia="zh-CN"/>
        </w:rPr>
        <w:t>10.45</w:t>
      </w:r>
      <w:r>
        <w:rPr>
          <w:rFonts w:hint="default" w:ascii="Times New Roman" w:hAnsi="Times New Roman" w:cs="Times New Roman"/>
          <w:sz w:val="24"/>
          <w:szCs w:val="24"/>
          <w:highlight w:val="none"/>
          <w:lang w:val="en-US" w:eastAsia="zh-CN"/>
        </w:rPr>
        <w:t>-</w:t>
      </w:r>
      <w:r>
        <w:rPr>
          <w:rFonts w:hint="eastAsia" w:cs="Times New Roman"/>
          <w:sz w:val="24"/>
          <w:szCs w:val="24"/>
          <w:highlight w:val="none"/>
          <w:lang w:val="en-US" w:eastAsia="zh-CN"/>
        </w:rPr>
        <w:t>62.74</w:t>
      </w:r>
      <w:r>
        <w:rPr>
          <w:rFonts w:hint="default" w:ascii="Times New Roman" w:hAnsi="Times New Roman" w:eastAsia="宋体" w:cs="Times New Roman"/>
          <w:sz w:val="24"/>
          <w:szCs w:val="24"/>
          <w:highlight w:val="none"/>
          <w:lang w:val="en-US" w:eastAsia="zh-CN"/>
        </w:rPr>
        <w:t>ppm，镍为</w:t>
      </w:r>
      <w:r>
        <w:rPr>
          <w:rFonts w:hint="eastAsia" w:cs="Times New Roman"/>
          <w:sz w:val="24"/>
          <w:szCs w:val="24"/>
          <w:highlight w:val="none"/>
          <w:lang w:val="en-US" w:eastAsia="zh-CN"/>
        </w:rPr>
        <w:t>7.59</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35.87</w:t>
      </w:r>
      <w:r>
        <w:rPr>
          <w:rFonts w:hint="default" w:ascii="Times New Roman" w:hAnsi="Times New Roman" w:eastAsia="宋体" w:cs="Times New Roman"/>
          <w:sz w:val="24"/>
          <w:szCs w:val="24"/>
          <w:highlight w:val="none"/>
          <w:lang w:val="en-US" w:eastAsia="zh-CN"/>
        </w:rPr>
        <w:t>ppm，锌为</w:t>
      </w:r>
      <w:r>
        <w:rPr>
          <w:rFonts w:hint="eastAsia" w:cs="Times New Roman"/>
          <w:sz w:val="24"/>
          <w:szCs w:val="24"/>
          <w:highlight w:val="none"/>
          <w:lang w:val="en-US" w:eastAsia="zh-CN"/>
        </w:rPr>
        <w:t>31.31</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133.17</w:t>
      </w:r>
      <w:r>
        <w:rPr>
          <w:rFonts w:hint="default" w:ascii="Times New Roman" w:hAnsi="Times New Roman" w:eastAsia="宋体" w:cs="Times New Roman"/>
          <w:sz w:val="24"/>
          <w:szCs w:val="24"/>
          <w:highlight w:val="none"/>
          <w:lang w:val="en-US" w:eastAsia="zh-CN"/>
        </w:rPr>
        <w:t>ppm，总铬为</w:t>
      </w:r>
      <w:r>
        <w:rPr>
          <w:rFonts w:hint="eastAsia" w:cs="Times New Roman"/>
          <w:sz w:val="24"/>
          <w:szCs w:val="24"/>
          <w:highlight w:val="none"/>
          <w:lang w:val="en-US" w:eastAsia="zh-CN"/>
        </w:rPr>
        <w:t>20.08</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90.68</w:t>
      </w:r>
      <w:r>
        <w:rPr>
          <w:rFonts w:hint="default" w:ascii="Times New Roman" w:hAnsi="Times New Roman" w:eastAsia="宋体" w:cs="Times New Roman"/>
          <w:sz w:val="24"/>
          <w:szCs w:val="24"/>
          <w:highlight w:val="none"/>
          <w:lang w:val="en-US" w:eastAsia="zh-CN"/>
        </w:rPr>
        <w:t>ppm，地块外对照点现场XRF 重金属快速检测结果显示砷为</w:t>
      </w:r>
      <w:r>
        <w:rPr>
          <w:rFonts w:hint="eastAsia" w:cs="Times New Roman"/>
          <w:sz w:val="24"/>
          <w:szCs w:val="24"/>
          <w:highlight w:val="none"/>
          <w:lang w:val="en-US" w:eastAsia="zh-CN"/>
        </w:rPr>
        <w:t>4.98</w:t>
      </w:r>
      <w:r>
        <w:rPr>
          <w:rFonts w:hint="default" w:ascii="Times New Roman" w:hAnsi="Times New Roman" w:eastAsia="宋体" w:cs="Times New Roman"/>
          <w:sz w:val="24"/>
          <w:szCs w:val="24"/>
          <w:highlight w:val="none"/>
          <w:lang w:val="en-US" w:eastAsia="zh-CN"/>
        </w:rPr>
        <w:t>ppm，铜为</w:t>
      </w:r>
      <w:r>
        <w:rPr>
          <w:rFonts w:hint="eastAsia" w:cs="Times New Roman"/>
          <w:sz w:val="24"/>
          <w:szCs w:val="24"/>
          <w:highlight w:val="none"/>
          <w:lang w:val="en-US" w:eastAsia="zh-CN"/>
        </w:rPr>
        <w:t>9.52</w:t>
      </w:r>
      <w:r>
        <w:rPr>
          <w:rFonts w:hint="default" w:ascii="Times New Roman" w:hAnsi="Times New Roman" w:eastAsia="宋体" w:cs="Times New Roman"/>
          <w:sz w:val="24"/>
          <w:szCs w:val="24"/>
          <w:highlight w:val="none"/>
          <w:lang w:val="en-US" w:eastAsia="zh-CN"/>
        </w:rPr>
        <w:t>ppm，铅为</w:t>
      </w:r>
      <w:r>
        <w:rPr>
          <w:rFonts w:hint="eastAsia" w:cs="Times New Roman"/>
          <w:sz w:val="24"/>
          <w:szCs w:val="24"/>
          <w:highlight w:val="none"/>
          <w:lang w:val="en-US" w:eastAsia="zh-CN"/>
        </w:rPr>
        <w:t>18.47</w:t>
      </w:r>
      <w:r>
        <w:rPr>
          <w:rFonts w:hint="default" w:ascii="Times New Roman" w:hAnsi="Times New Roman" w:eastAsia="宋体" w:cs="Times New Roman"/>
          <w:sz w:val="24"/>
          <w:szCs w:val="24"/>
          <w:highlight w:val="none"/>
          <w:lang w:val="en-US" w:eastAsia="zh-CN"/>
        </w:rPr>
        <w:t>ppm，镍为</w:t>
      </w:r>
      <w:r>
        <w:rPr>
          <w:rFonts w:hint="eastAsia" w:cs="Times New Roman"/>
          <w:sz w:val="24"/>
          <w:szCs w:val="24"/>
          <w:highlight w:val="none"/>
          <w:lang w:val="en-US" w:eastAsia="zh-CN"/>
        </w:rPr>
        <w:t>7.86</w:t>
      </w:r>
      <w:r>
        <w:rPr>
          <w:rFonts w:hint="default" w:ascii="Times New Roman" w:hAnsi="Times New Roman" w:eastAsia="宋体" w:cs="Times New Roman"/>
          <w:sz w:val="24"/>
          <w:szCs w:val="24"/>
          <w:highlight w:val="none"/>
          <w:lang w:val="en-US" w:eastAsia="zh-CN"/>
        </w:rPr>
        <w:t>ppm，锌为</w:t>
      </w:r>
      <w:r>
        <w:rPr>
          <w:rFonts w:hint="eastAsia" w:cs="Times New Roman"/>
          <w:sz w:val="24"/>
          <w:szCs w:val="24"/>
          <w:highlight w:val="none"/>
          <w:lang w:val="en-US" w:eastAsia="zh-CN"/>
        </w:rPr>
        <w:t>38.97</w:t>
      </w:r>
      <w:r>
        <w:rPr>
          <w:rFonts w:hint="default" w:ascii="Times New Roman" w:hAnsi="Times New Roman" w:eastAsia="宋体" w:cs="Times New Roman"/>
          <w:sz w:val="24"/>
          <w:szCs w:val="24"/>
          <w:highlight w:val="none"/>
          <w:lang w:val="en-US" w:eastAsia="zh-CN"/>
        </w:rPr>
        <w:t>ppm，总铬为</w:t>
      </w:r>
      <w:r>
        <w:rPr>
          <w:rFonts w:hint="eastAsia" w:cs="Times New Roman"/>
          <w:sz w:val="24"/>
          <w:szCs w:val="24"/>
          <w:highlight w:val="none"/>
          <w:lang w:val="en-US" w:eastAsia="zh-CN"/>
        </w:rPr>
        <w:t>19.37</w:t>
      </w:r>
      <w:r>
        <w:rPr>
          <w:rFonts w:hint="default" w:ascii="Times New Roman" w:hAnsi="Times New Roman" w:eastAsia="宋体" w:cs="Times New Roman"/>
          <w:sz w:val="24"/>
          <w:szCs w:val="24"/>
          <w:highlight w:val="none"/>
          <w:lang w:val="en-US" w:eastAsia="zh-CN"/>
        </w:rPr>
        <w:t>ppm，镉为</w:t>
      </w:r>
      <w:r>
        <w:rPr>
          <w:rFonts w:hint="eastAsia" w:cs="Times New Roman"/>
          <w:sz w:val="24"/>
          <w:szCs w:val="24"/>
          <w:highlight w:val="none"/>
          <w:lang w:val="en-US" w:eastAsia="zh-CN"/>
        </w:rPr>
        <w:t>0.05</w:t>
      </w:r>
      <w:r>
        <w:rPr>
          <w:rFonts w:hint="default" w:ascii="Times New Roman" w:hAnsi="Times New Roman" w:eastAsia="宋体" w:cs="Times New Roman"/>
          <w:sz w:val="24"/>
          <w:szCs w:val="24"/>
          <w:highlight w:val="none"/>
          <w:lang w:val="en-US" w:eastAsia="zh-CN"/>
        </w:rPr>
        <w:t>ppm，汞为0.0</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ppm，检出指标均未超出《土</w:t>
      </w:r>
      <w:r>
        <w:rPr>
          <w:rFonts w:hint="default" w:ascii="Times New Roman" w:hAnsi="Times New Roman" w:eastAsia="宋体" w:cs="Times New Roman"/>
          <w:sz w:val="24"/>
          <w:szCs w:val="24"/>
          <w:lang w:val="en-US" w:eastAsia="zh-CN"/>
        </w:rPr>
        <w:t>壤环境质量 建设用地土壤污染风险管控标准（试行）》（GB36600-2018）中的第一类用地筛选值。地块内检测结果与对照点检测结果对比无较大差异。</w:t>
      </w:r>
    </w:p>
    <w:p w14:paraId="1A5B84C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outlineLvl w:val="9"/>
        <w:rPr>
          <w:rFonts w:hint="eastAsia" w:cs="Times New Roman"/>
          <w:sz w:val="24"/>
          <w:szCs w:val="24"/>
          <w:lang w:eastAsia="zh-CN"/>
        </w:rPr>
      </w:pPr>
      <w:r>
        <w:rPr>
          <w:rFonts w:hint="default" w:ascii="Times New Roman" w:hAnsi="Times New Roman" w:eastAsia="宋体" w:cs="Times New Roman"/>
          <w:sz w:val="24"/>
          <w:szCs w:val="24"/>
          <w:lang w:val="en-US" w:eastAsia="zh-CN"/>
        </w:rPr>
        <w:t>综上所述，对照点检测结果与本地块内检测点对比基本情况相似，</w:t>
      </w:r>
      <w:r>
        <w:rPr>
          <w:rFonts w:hint="default" w:ascii="Times New Roman" w:hAnsi="Times New Roman" w:eastAsia="宋体" w:cs="Times New Roman"/>
          <w:sz w:val="24"/>
          <w:szCs w:val="24"/>
        </w:rPr>
        <w:t>由此判断该地块受重金属</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有机物的</w:t>
      </w:r>
      <w:r>
        <w:rPr>
          <w:rFonts w:hint="default" w:ascii="Times New Roman" w:hAnsi="Times New Roman" w:eastAsia="宋体" w:cs="Times New Roman"/>
          <w:sz w:val="24"/>
          <w:szCs w:val="24"/>
        </w:rPr>
        <w:t>污染</w:t>
      </w:r>
      <w:r>
        <w:rPr>
          <w:rFonts w:hint="default" w:ascii="Times New Roman" w:hAnsi="Times New Roman" w:eastAsia="宋体" w:cs="Times New Roman"/>
          <w:sz w:val="24"/>
          <w:szCs w:val="24"/>
          <w:lang w:val="en-US" w:eastAsia="zh-CN"/>
        </w:rPr>
        <w:t>可能性较低</w:t>
      </w:r>
      <w:r>
        <w:rPr>
          <w:rFonts w:hint="default" w:ascii="Times New Roman" w:hAnsi="Times New Roman" w:eastAsia="宋体" w:cs="Times New Roman"/>
          <w:sz w:val="24"/>
          <w:szCs w:val="24"/>
        </w:rPr>
        <w:t>。结合现场踏勘及人员访谈收集到的其他地块信息，综合分析后认为，此地块不存在污染源及明显的受污染情况</w:t>
      </w:r>
      <w:r>
        <w:rPr>
          <w:rFonts w:hint="eastAsia" w:cs="Times New Roman"/>
          <w:sz w:val="24"/>
          <w:szCs w:val="24"/>
          <w:lang w:eastAsia="zh-CN"/>
        </w:rPr>
        <w:t>。</w:t>
      </w:r>
    </w:p>
    <w:p w14:paraId="2E76E899">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调查结论</w:t>
      </w:r>
    </w:p>
    <w:p w14:paraId="7435F5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宋体" w:hAnsi="宋体"/>
          <w:color w:val="auto"/>
          <w:sz w:val="24"/>
          <w:lang w:eastAsia="zh-CN"/>
        </w:rPr>
        <w:t>根据</w:t>
      </w:r>
      <w:r>
        <w:rPr>
          <w:rFonts w:hint="eastAsia" w:ascii="宋体" w:hAnsi="宋体" w:eastAsia="宋体"/>
          <w:color w:val="auto"/>
          <w:sz w:val="24"/>
        </w:rPr>
        <w:t>《建设用地土壤污染状况调查技术导则》（</w:t>
      </w:r>
      <w:r>
        <w:rPr>
          <w:rFonts w:hint="eastAsia" w:ascii="TimesNewRomanPSMT" w:hAnsi="TimesNewRomanPSMT" w:eastAsia="TimesNewRomanPSMT"/>
          <w:color w:val="auto"/>
          <w:sz w:val="24"/>
        </w:rPr>
        <w:t>HJ25.1-2019</w:t>
      </w:r>
      <w:r>
        <w:rPr>
          <w:rFonts w:hint="eastAsia" w:ascii="宋体" w:hAnsi="宋体" w:eastAsia="宋体"/>
          <w:color w:val="auto"/>
          <w:sz w:val="24"/>
        </w:rPr>
        <w:t>）</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highlight w:val="none"/>
          <w:lang w:val="en-US" w:eastAsia="zh-CN"/>
        </w:rPr>
        <w:t>《浙江省建设用地土壤污染风险管控和修复监督管理办法</w:t>
      </w:r>
      <w:r>
        <w:rPr>
          <w:rFonts w:hint="eastAsia" w:cs="Times New Roman"/>
          <w:color w:val="auto"/>
          <w:sz w:val="24"/>
          <w:szCs w:val="24"/>
          <w:highlight w:val="none"/>
          <w:lang w:val="en-US" w:eastAsia="zh-CN"/>
        </w:rPr>
        <w:t>（修订）</w:t>
      </w:r>
      <w:r>
        <w:rPr>
          <w:rFonts w:hint="eastAsia" w:ascii="Times New Roman" w:hAnsi="Times New Roman" w:cs="Times New Roman"/>
          <w:color w:val="auto"/>
          <w:sz w:val="24"/>
          <w:szCs w:val="24"/>
          <w:highlight w:val="none"/>
          <w:lang w:val="en-US" w:eastAsia="zh-CN"/>
        </w:rPr>
        <w:t>》（浙环发〔202</w:t>
      </w: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47</w:t>
      </w:r>
      <w:r>
        <w:rPr>
          <w:rFonts w:hint="eastAsia" w:ascii="Times New Roman" w:hAnsi="Times New Roman" w:cs="Times New Roman"/>
          <w:color w:val="auto"/>
          <w:sz w:val="24"/>
          <w:szCs w:val="24"/>
          <w:highlight w:val="none"/>
          <w:lang w:val="en-US" w:eastAsia="zh-CN"/>
        </w:rPr>
        <w:t>号）</w:t>
      </w:r>
      <w:r>
        <w:rPr>
          <w:rFonts w:hint="eastAsia" w:ascii="宋体" w:hAnsi="宋体" w:eastAsia="宋体"/>
          <w:color w:val="auto"/>
          <w:sz w:val="24"/>
        </w:rPr>
        <w:t>及《土壤司关于部长信箱来信</w:t>
      </w:r>
      <w:r>
        <w:rPr>
          <w:rFonts w:hint="eastAsia" w:ascii="TimesNewRomanPSMT" w:hAnsi="TimesNewRomanPSMT" w:eastAsia="TimesNewRomanPSMT"/>
          <w:color w:val="auto"/>
          <w:sz w:val="24"/>
        </w:rPr>
        <w:t>“</w:t>
      </w:r>
      <w:r>
        <w:rPr>
          <w:rFonts w:hint="eastAsia" w:ascii="宋体" w:hAnsi="宋体" w:eastAsia="宋体"/>
          <w:color w:val="auto"/>
          <w:sz w:val="24"/>
        </w:rPr>
        <w:t>农用地变更用途是否需要做土壤污染检测</w:t>
      </w:r>
      <w:r>
        <w:rPr>
          <w:rFonts w:hint="eastAsia" w:ascii="TimesNewRomanPSMT" w:hAnsi="TimesNewRomanPSMT" w:eastAsia="TimesNewRomanPSMT"/>
          <w:color w:val="auto"/>
          <w:sz w:val="24"/>
        </w:rPr>
        <w:t>”</w:t>
      </w:r>
      <w:r>
        <w:rPr>
          <w:rFonts w:hint="eastAsia" w:ascii="宋体" w:hAnsi="宋体" w:eastAsia="宋体"/>
          <w:color w:val="auto"/>
          <w:sz w:val="24"/>
        </w:rPr>
        <w:t>等三个办理单的答复》，</w:t>
      </w:r>
      <w:r>
        <w:rPr>
          <w:rFonts w:hint="eastAsia" w:ascii="宋体" w:hAnsi="宋体"/>
          <w:color w:val="auto"/>
          <w:sz w:val="24"/>
          <w:lang w:eastAsia="zh-CN"/>
        </w:rPr>
        <w:t>“</w:t>
      </w:r>
      <w:r>
        <w:rPr>
          <w:rFonts w:hint="eastAsia" w:ascii="宋体" w:hAnsi="宋体" w:eastAsia="宋体"/>
          <w:color w:val="auto"/>
          <w:sz w:val="24"/>
        </w:rPr>
        <w:t>第一阶段土壤污染状况调查是以资料收集、现场踏勘和人员访谈为主的污染识别阶段，原则上不进行现场采样分析。若第一阶段调查确认地块内及周围区域当前和历史上均无可能的污染源，则认为地块的环境状况可以接受，调查活动可以结束</w:t>
      </w:r>
      <w:r>
        <w:rPr>
          <w:rFonts w:hint="eastAsia" w:ascii="TimesNewRomanPSMT" w:hAnsi="TimesNewRomanPSMT" w:eastAsia="宋体"/>
          <w:color w:val="auto"/>
          <w:sz w:val="24"/>
          <w:lang w:eastAsia="zh-CN"/>
        </w:rPr>
        <w:t>”</w:t>
      </w:r>
      <w:r>
        <w:rPr>
          <w:rFonts w:hint="eastAsia" w:ascii="宋体" w:hAnsi="宋体" w:eastAsia="宋体"/>
          <w:color w:val="auto"/>
          <w:sz w:val="24"/>
        </w:rPr>
        <w:t>。因此本地块土壤污染状况第一阶段调查工作可以结束，无需进入第二阶段的调查</w:t>
      </w:r>
      <w:r>
        <w:rPr>
          <w:rFonts w:hint="default" w:ascii="Times New Roman" w:hAnsi="Times New Roman" w:eastAsia="宋体" w:cs="Times New Roman"/>
          <w:color w:val="auto"/>
          <w:sz w:val="24"/>
          <w:szCs w:val="24"/>
          <w:highlight w:val="none"/>
          <w:lang w:eastAsia="zh-CN"/>
        </w:rPr>
        <w:t>。</w:t>
      </w:r>
    </w:p>
    <w:p w14:paraId="046B5BE0">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outlineLvl w:val="9"/>
        <w:rPr>
          <w:rFonts w:hint="eastAsia" w:cs="Times New Roman"/>
          <w:sz w:val="24"/>
          <w:szCs w:val="24"/>
          <w:lang w:val="en-US" w:eastAsia="zh-CN"/>
        </w:rPr>
        <w:sectPr>
          <w:pgSz w:w="11907" w:h="16840"/>
          <w:pgMar w:top="1440" w:right="1800" w:bottom="1440" w:left="1800" w:header="1020" w:footer="1020"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宋体" w:cs="Times New Roman"/>
          <w:color w:val="auto"/>
          <w:sz w:val="24"/>
          <w:szCs w:val="24"/>
        </w:rPr>
        <w:t>经过</w:t>
      </w:r>
      <w:r>
        <w:rPr>
          <w:rFonts w:hint="eastAsia" w:ascii="Times New Roman" w:hAnsi="Times New Roman" w:eastAsia="宋体" w:cs="Times New Roman"/>
          <w:color w:val="auto"/>
          <w:sz w:val="24"/>
          <w:szCs w:val="24"/>
          <w:lang w:val="en-US" w:eastAsia="zh-CN"/>
        </w:rPr>
        <w:t>现场踏勘、人员访谈、历史资料查阅以及土壤快筛</w:t>
      </w:r>
      <w:r>
        <w:rPr>
          <w:rFonts w:hint="eastAsia" w:cs="Times New Roman"/>
          <w:color w:val="auto"/>
          <w:sz w:val="24"/>
          <w:szCs w:val="24"/>
          <w:lang w:val="en-US" w:eastAsia="zh-CN"/>
        </w:rPr>
        <w:t>等</w:t>
      </w:r>
      <w:r>
        <w:rPr>
          <w:rFonts w:hint="default" w:ascii="Times New Roman" w:hAnsi="Times New Roman" w:eastAsia="宋体" w:cs="Times New Roman"/>
          <w:color w:val="auto"/>
          <w:sz w:val="24"/>
          <w:szCs w:val="24"/>
        </w:rPr>
        <w:t>土壤污染状况调查</w:t>
      </w:r>
      <w:r>
        <w:rPr>
          <w:rFonts w:hint="eastAsia" w:cs="Times New Roman"/>
          <w:color w:val="auto"/>
          <w:sz w:val="24"/>
          <w:szCs w:val="24"/>
          <w:lang w:val="en-US" w:eastAsia="zh-CN"/>
        </w:rPr>
        <w:t>工作</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调查以及检测结果显示</w:t>
      </w:r>
      <w:r>
        <w:rPr>
          <w:rFonts w:hint="eastAsia" w:cs="Times New Roman"/>
          <w:color w:val="auto"/>
          <w:sz w:val="24"/>
          <w:szCs w:val="24"/>
          <w:lang w:val="en-US" w:eastAsia="zh-CN"/>
        </w:rPr>
        <w:t>城西街道雪峰西路与汇港路交叉口西南侧地块二地块</w:t>
      </w:r>
      <w:r>
        <w:rPr>
          <w:rFonts w:hint="default" w:ascii="Times New Roman" w:hAnsi="Times New Roman" w:eastAsia="宋体" w:cs="Times New Roman"/>
          <w:color w:val="auto"/>
          <w:sz w:val="24"/>
          <w:szCs w:val="24"/>
          <w:lang w:eastAsia="zh-CN"/>
        </w:rPr>
        <w:t>及周围区域现状和历史上均无可能的污染源，</w:t>
      </w:r>
      <w:r>
        <w:rPr>
          <w:rFonts w:hint="eastAsia" w:ascii="Times New Roman" w:hAnsi="Times New Roman" w:eastAsia="宋体" w:cs="Times New Roman"/>
          <w:color w:val="auto"/>
          <w:sz w:val="24"/>
          <w:szCs w:val="24"/>
          <w:lang w:val="en-US" w:eastAsia="zh-CN"/>
        </w:rPr>
        <w:t>不属于污染性地块</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eastAsia="zh-CN"/>
        </w:rPr>
        <w:t>本报告认为该地块的环境状况可以接受，</w:t>
      </w:r>
      <w:r>
        <w:rPr>
          <w:rFonts w:hint="eastAsia" w:cs="Times New Roman"/>
          <w:color w:val="auto"/>
          <w:sz w:val="24"/>
          <w:szCs w:val="24"/>
          <w:lang w:eastAsia="zh-CN"/>
        </w:rPr>
        <w:t>因此本地块土壤污染状况第一阶段调查工作可以结束，无需进入第二阶段的调查，</w:t>
      </w:r>
      <w:r>
        <w:rPr>
          <w:rFonts w:hint="default" w:ascii="Times New Roman" w:hAnsi="Times New Roman" w:eastAsia="宋体" w:cs="Times New Roman"/>
          <w:color w:val="auto"/>
          <w:sz w:val="24"/>
          <w:szCs w:val="24"/>
          <w:highlight w:val="none"/>
          <w:lang w:eastAsia="zh-CN"/>
        </w:rPr>
        <w:t>可以作为</w:t>
      </w:r>
      <w:r>
        <w:rPr>
          <w:rFonts w:hint="default" w:ascii="Times New Roman" w:hAnsi="Times New Roman" w:cs="Times New Roman"/>
          <w:color w:val="000000"/>
          <w:sz w:val="24"/>
          <w:szCs w:val="32"/>
          <w:highlight w:val="none"/>
          <w:lang w:val="en-US" w:eastAsia="zh-CN"/>
        </w:rPr>
        <w:t>城镇住宅用地（0701）、商业用地（0901）</w:t>
      </w:r>
      <w:r>
        <w:rPr>
          <w:rFonts w:hint="eastAsia" w:cs="Times New Roman"/>
          <w:color w:val="000000"/>
          <w:sz w:val="24"/>
          <w:szCs w:val="32"/>
          <w:highlight w:val="none"/>
          <w:lang w:val="en-US" w:eastAsia="zh-CN"/>
        </w:rPr>
        <w:t>开发利用</w:t>
      </w:r>
      <w:r>
        <w:rPr>
          <w:rFonts w:hint="eastAsia" w:cs="Times New Roman"/>
          <w:color w:val="auto"/>
          <w:sz w:val="24"/>
          <w:szCs w:val="24"/>
          <w:lang w:eastAsia="zh-CN"/>
        </w:rPr>
        <w:t>。</w:t>
      </w:r>
    </w:p>
    <w:p w14:paraId="62666B53">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outlineLvl w:val="9"/>
      </w:pPr>
    </w:p>
    <w:p w14:paraId="557CEAF8">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sz w:val="24"/>
          <w:szCs w:val="24"/>
          <w:highlight w:val="none"/>
          <w:lang w:eastAsia="zh-CN"/>
        </w:rPr>
      </w:pPr>
    </w:p>
    <w:p w14:paraId="0F0E2EEE">
      <w:pPr>
        <w:spacing w:line="360" w:lineRule="auto"/>
        <w:rPr>
          <w:rFonts w:hint="default" w:ascii="Times New Roman" w:hAnsi="Times New Roman" w:eastAsia="宋体" w:cs="Times New Roman"/>
          <w:b w:val="0"/>
          <w:bCs w:val="0"/>
          <w:color w:val="auto"/>
          <w:kern w:val="2"/>
          <w:sz w:val="24"/>
          <w:szCs w:val="24"/>
          <w:lang w:val="en-US" w:eastAsia="zh-CN" w:bidi="ar-SA"/>
        </w:rPr>
      </w:pPr>
    </w:p>
    <w:p w14:paraId="6EC0DD71">
      <w:pPr>
        <w:pStyle w:val="6"/>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28570B44"/>
    <w:rsid w:val="3FF06FC8"/>
    <w:rsid w:val="45785768"/>
    <w:rsid w:val="483B48D8"/>
    <w:rsid w:val="49A26000"/>
    <w:rsid w:val="4B743D55"/>
    <w:rsid w:val="535518B1"/>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qFormat/>
    <w:uiPriority w:val="99"/>
    <w:rPr>
      <w:rFonts w:ascii="宋体" w:hAnsi="Courier New"/>
      <w:kern w:val="0"/>
      <w:sz w:val="20"/>
      <w:szCs w:val="20"/>
    </w:rPr>
  </w:style>
  <w:style w:type="paragraph" w:styleId="7">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10">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1676</Words>
  <Characters>1875</Characters>
  <Lines>0</Lines>
  <Paragraphs>0</Paragraphs>
  <TotalTime>0</TotalTime>
  <ScaleCrop>false</ScaleCrop>
  <LinksUpToDate>false</LinksUpToDate>
  <CharactersWithSpaces>1878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2025-06-27T05:30:44Z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44DD9D9B259942D19A2C39F89C959A2E_12</vt:lpwstr>
  </property>
  <property fmtid="{D5CDD505-2E9C-101B-9397-08002B2CF9AE}" pid="4" name="KSOTemplateDocerSaveRecord">
    <vt:lpwstr>eyJoZGlkIjoiYmY2NjEyMDgzNWNhNzdiOTJkY2MzOWFlOTYxNWI0NTgiLCJ1c2VySWQiOiI2MDEzMzI4NzYifQ==</vt:lpwstr>
  </property>
</Properties>
</file>