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75FD2">
      <w:pPr>
        <w:pStyle w:val="12"/>
        <w:spacing w:line="360" w:lineRule="auto"/>
        <w:ind w:firstLine="0" w:firstLineChars="0"/>
        <w:jc w:val="center"/>
        <w:rPr>
          <w:rFonts w:hint="eastAsia" w:ascii="Times New Roman" w:hAnsi="Times New Roman" w:eastAsia="宋体" w:cs="Times New Roman"/>
          <w:sz w:val="30"/>
          <w:szCs w:val="30"/>
          <w:lang w:val="en-US" w:eastAsia="zh-CN"/>
        </w:rPr>
      </w:pPr>
      <w:bookmarkStart w:id="0" w:name="_GoBack"/>
      <w:r>
        <w:rPr>
          <w:rFonts w:hint="eastAsia" w:ascii="Times New Roman" w:hAnsi="Times New Roman" w:eastAsia="宋体" w:cs="Times New Roman"/>
          <w:sz w:val="30"/>
          <w:szCs w:val="30"/>
          <w:lang w:eastAsia="zh-CN"/>
        </w:rPr>
        <w:t>关于</w:t>
      </w:r>
      <w:r>
        <w:rPr>
          <w:rFonts w:hint="eastAsia" w:ascii="Times New Roman" w:hAnsi="Times New Roman" w:cs="Times New Roman"/>
          <w:sz w:val="30"/>
          <w:szCs w:val="30"/>
          <w:lang w:val="en-US" w:eastAsia="zh-CN"/>
        </w:rPr>
        <w:t>商城大道南侧地块A第一阶段</w:t>
      </w:r>
      <w:r>
        <w:rPr>
          <w:rFonts w:hint="eastAsia" w:ascii="Times New Roman" w:hAnsi="Times New Roman" w:eastAsia="宋体" w:cs="Times New Roman"/>
          <w:sz w:val="30"/>
          <w:szCs w:val="30"/>
          <w:lang w:val="en-US" w:eastAsia="zh-CN"/>
        </w:rPr>
        <w:t>土壤污染状况</w:t>
      </w:r>
    </w:p>
    <w:p w14:paraId="6330488D">
      <w:pPr>
        <w:pStyle w:val="12"/>
        <w:spacing w:line="360" w:lineRule="auto"/>
        <w:ind w:firstLine="0" w:firstLineChars="0"/>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调查报告的公示</w:t>
      </w:r>
    </w:p>
    <w:bookmarkEnd w:id="0"/>
    <w:p w14:paraId="7D2D829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商城大道南侧地块A</w:t>
      </w:r>
      <w:r>
        <w:rPr>
          <w:rFonts w:hint="default" w:ascii="Times New Roman" w:hAnsi="Times New Roman" w:eastAsia="宋体" w:cs="Times New Roman"/>
          <w:color w:val="auto"/>
          <w:sz w:val="24"/>
          <w:szCs w:val="24"/>
        </w:rPr>
        <w:t>位于</w:t>
      </w:r>
      <w:r>
        <w:rPr>
          <w:rFonts w:hint="default" w:ascii="Times New Roman" w:hAnsi="Times New Roman" w:eastAsia="宋体" w:cs="Times New Roman"/>
          <w:color w:val="auto"/>
          <w:sz w:val="24"/>
          <w:szCs w:val="24"/>
          <w:lang w:val="en-US" w:eastAsia="zh-CN"/>
        </w:rPr>
        <w:t>义乌市</w:t>
      </w:r>
      <w:r>
        <w:rPr>
          <w:rFonts w:hint="eastAsia" w:cs="Times New Roman"/>
          <w:color w:val="auto"/>
          <w:sz w:val="24"/>
          <w:szCs w:val="24"/>
          <w:lang w:val="en-US" w:eastAsia="zh-CN"/>
        </w:rPr>
        <w:t>福田</w:t>
      </w:r>
      <w:r>
        <w:rPr>
          <w:rFonts w:hint="default" w:ascii="Times New Roman" w:hAnsi="Times New Roman" w:eastAsia="宋体" w:cs="Times New Roman"/>
          <w:color w:val="auto"/>
          <w:sz w:val="24"/>
          <w:szCs w:val="24"/>
          <w:lang w:val="en-US" w:eastAsia="zh-CN"/>
        </w:rPr>
        <w:t>街道</w:t>
      </w:r>
      <w:r>
        <w:rPr>
          <w:rFonts w:hint="eastAsia" w:cs="Times New Roman"/>
          <w:color w:val="auto"/>
          <w:sz w:val="24"/>
          <w:szCs w:val="24"/>
          <w:lang w:val="en-US" w:eastAsia="zh-CN"/>
        </w:rPr>
        <w:t>商城大道南侧</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东至口岸路</w:t>
      </w:r>
      <w:r>
        <w:rPr>
          <w:rFonts w:hint="eastAsia" w:cs="Times New Roman"/>
          <w:color w:val="auto"/>
          <w:sz w:val="24"/>
          <w:szCs w:val="24"/>
          <w:lang w:val="en-US" w:eastAsia="zh-CN"/>
        </w:rPr>
        <w:t>，南至兴港小区，西至万境观云（在建），北至商城大道，总</w:t>
      </w:r>
      <w:r>
        <w:rPr>
          <w:rFonts w:hint="default" w:ascii="Times New Roman" w:hAnsi="Times New Roman" w:eastAsia="宋体" w:cs="Times New Roman"/>
          <w:color w:val="auto"/>
          <w:sz w:val="24"/>
          <w:szCs w:val="24"/>
        </w:rPr>
        <w:t>调查面积为</w:t>
      </w:r>
      <w:r>
        <w:rPr>
          <w:rFonts w:hint="eastAsia" w:cs="Times New Roman"/>
          <w:color w:val="auto"/>
          <w:sz w:val="24"/>
          <w:szCs w:val="24"/>
          <w:lang w:val="en-US" w:eastAsia="zh-CN"/>
        </w:rPr>
        <w:t>17888.80</w:t>
      </w:r>
      <w:r>
        <w:rPr>
          <w:rFonts w:hint="default" w:ascii="Times New Roman" w:hAnsi="Times New Roman" w:eastAsia="宋体" w:cs="Times New Roman"/>
          <w:color w:val="auto"/>
          <w:sz w:val="24"/>
          <w:szCs w:val="24"/>
        </w:rPr>
        <w:t>平方米，中心桩号为东经</w:t>
      </w:r>
      <w:r>
        <w:rPr>
          <w:rFonts w:hint="eastAsia" w:cs="Times New Roman"/>
          <w:color w:val="auto"/>
          <w:sz w:val="24"/>
          <w:szCs w:val="24"/>
          <w:lang w:val="en-US" w:eastAsia="zh-CN"/>
        </w:rPr>
        <w:t>120.086173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，北纬29.</w:t>
      </w:r>
      <w:r>
        <w:rPr>
          <w:rFonts w:hint="eastAsia" w:cs="Times New Roman"/>
          <w:color w:val="auto"/>
          <w:sz w:val="24"/>
          <w:szCs w:val="24"/>
          <w:lang w:val="en-US" w:eastAsia="zh-CN"/>
        </w:rPr>
        <w:t>338763</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。本地块</w:t>
      </w:r>
      <w:r>
        <w:rPr>
          <w:rFonts w:hint="default" w:ascii="Times New Roman" w:hAnsi="Times New Roman" w:eastAsia="宋体" w:cs="Times New Roman"/>
          <w:color w:val="auto"/>
          <w:sz w:val="24"/>
          <w:szCs w:val="24"/>
          <w:lang w:val="en-US" w:eastAsia="zh-CN"/>
        </w:rPr>
        <w:t>原</w:t>
      </w:r>
      <w:r>
        <w:rPr>
          <w:rFonts w:hint="default" w:ascii="Times New Roman" w:hAnsi="Times New Roman" w:eastAsia="宋体" w:cs="Times New Roman"/>
          <w:color w:val="auto"/>
          <w:sz w:val="24"/>
          <w:szCs w:val="24"/>
        </w:rPr>
        <w:t>为</w:t>
      </w:r>
      <w:r>
        <w:rPr>
          <w:rFonts w:hint="default" w:ascii="Times New Roman" w:hAnsi="Times New Roman" w:eastAsia="宋体" w:cs="Times New Roman"/>
          <w:color w:val="auto"/>
          <w:sz w:val="24"/>
          <w:szCs w:val="24"/>
          <w:lang w:val="en-US" w:eastAsia="zh-CN"/>
        </w:rPr>
        <w:t>农用地</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现状为</w:t>
      </w:r>
      <w:r>
        <w:rPr>
          <w:rFonts w:hint="eastAsia" w:cs="Times New Roman"/>
          <w:color w:val="auto"/>
          <w:sz w:val="24"/>
          <w:szCs w:val="24"/>
          <w:lang w:val="en-US" w:eastAsia="zh-CN"/>
        </w:rPr>
        <w:t>万境观云项目临时生活区、绿化带</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highlight w:val="none"/>
        </w:rPr>
        <w:t>根据</w:t>
      </w:r>
      <w:r>
        <w:rPr>
          <w:rFonts w:hint="eastAsia" w:cs="Times New Roman"/>
          <w:color w:val="auto"/>
          <w:sz w:val="24"/>
          <w:szCs w:val="24"/>
          <w:highlight w:val="none"/>
          <w:lang w:eastAsia="zh-CN"/>
        </w:rPr>
        <w:t>《义乌市中心城区国际商贸城</w:t>
      </w:r>
      <w:r>
        <w:rPr>
          <w:rFonts w:hint="eastAsia" w:cs="Times New Roman"/>
          <w:color w:val="auto"/>
          <w:sz w:val="24"/>
          <w:szCs w:val="24"/>
          <w:highlight w:val="none"/>
          <w:lang w:val="en-US" w:eastAsia="zh-CN"/>
        </w:rPr>
        <w:t>YZ-SMC-01单元控制性详细规划</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，该地块规划用途为</w:t>
      </w:r>
      <w:r>
        <w:rPr>
          <w:rFonts w:hint="default" w:ascii="Times New Roman" w:hAnsi="Times New Roman" w:cs="Times New Roman"/>
          <w:color w:val="000000"/>
          <w:sz w:val="24"/>
          <w:szCs w:val="32"/>
          <w:highlight w:val="none"/>
          <w:lang w:val="en-US" w:eastAsia="zh-CN"/>
        </w:rPr>
        <w:t>商业服务用地/居住用地（</w:t>
      </w:r>
      <w:r>
        <w:rPr>
          <w:rFonts w:hint="eastAsia" w:cs="Times New Roman"/>
          <w:color w:val="000000"/>
          <w:sz w:val="24"/>
          <w:szCs w:val="32"/>
          <w:highlight w:val="none"/>
          <w:lang w:val="en-US" w:eastAsia="zh-CN"/>
        </w:rPr>
        <w:t>B</w:t>
      </w:r>
      <w:r>
        <w:rPr>
          <w:rFonts w:hint="default" w:ascii="Times New Roman" w:hAnsi="Times New Roman" w:cs="Times New Roman"/>
          <w:color w:val="000000"/>
          <w:sz w:val="24"/>
          <w:szCs w:val="32"/>
          <w:highlight w:val="none"/>
          <w:lang w:val="en-US" w:eastAsia="zh-CN"/>
        </w:rPr>
        <w:t>/</w:t>
      </w:r>
      <w:r>
        <w:rPr>
          <w:rFonts w:hint="eastAsia" w:cs="Times New Roman"/>
          <w:color w:val="000000"/>
          <w:sz w:val="24"/>
          <w:szCs w:val="32"/>
          <w:highlight w:val="none"/>
          <w:lang w:val="en-US" w:eastAsia="zh-CN"/>
        </w:rPr>
        <w:t>R</w:t>
      </w:r>
      <w:r>
        <w:rPr>
          <w:rFonts w:hint="default" w:ascii="Times New Roman" w:hAnsi="Times New Roman" w:cs="Times New Roman"/>
          <w:color w:val="000000"/>
          <w:sz w:val="24"/>
          <w:szCs w:val="32"/>
          <w:highlight w:val="none"/>
          <w:lang w:val="en-US" w:eastAsia="zh-CN"/>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为《国土空间调查、规划、用途管制用地用海分类指南》（2023年11月）中的</w:t>
      </w:r>
      <w:r>
        <w:rPr>
          <w:rFonts w:hint="default" w:ascii="Times New Roman" w:hAnsi="Times New Roman" w:cs="Times New Roman"/>
          <w:color w:val="000000"/>
          <w:sz w:val="24"/>
          <w:szCs w:val="32"/>
          <w:highlight w:val="none"/>
          <w:lang w:val="en-US" w:eastAsia="zh-CN"/>
        </w:rPr>
        <w:t>商业</w:t>
      </w:r>
      <w:r>
        <w:rPr>
          <w:rFonts w:hint="eastAsia" w:cs="Times New Roman"/>
          <w:color w:val="000000"/>
          <w:sz w:val="24"/>
          <w:szCs w:val="32"/>
          <w:highlight w:val="none"/>
          <w:lang w:val="en-US" w:eastAsia="zh-CN"/>
        </w:rPr>
        <w:t>服务业</w:t>
      </w:r>
      <w:r>
        <w:rPr>
          <w:rFonts w:hint="default" w:ascii="Times New Roman" w:hAnsi="Times New Roman" w:cs="Times New Roman"/>
          <w:color w:val="000000"/>
          <w:sz w:val="24"/>
          <w:szCs w:val="32"/>
          <w:highlight w:val="none"/>
          <w:lang w:val="en-US" w:eastAsia="zh-CN"/>
        </w:rPr>
        <w:t>用地（09）</w:t>
      </w:r>
      <w:r>
        <w:rPr>
          <w:rFonts w:hint="eastAsia" w:cs="Times New Roman"/>
          <w:color w:val="000000"/>
          <w:sz w:val="24"/>
          <w:szCs w:val="32"/>
          <w:highlight w:val="none"/>
          <w:lang w:val="en-US" w:eastAsia="zh-CN"/>
        </w:rPr>
        <w:t>和居住用地（07）</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属</w:t>
      </w:r>
      <w:r>
        <w:rPr>
          <w:rFonts w:hint="default" w:ascii="Times New Roman" w:hAnsi="Times New Roman" w:eastAsia="宋体" w:cs="Times New Roman"/>
          <w:color w:val="auto"/>
          <w:sz w:val="24"/>
          <w:szCs w:val="24"/>
          <w:highlight w:val="none"/>
          <w:lang w:val="en-US" w:eastAsia="zh-CN"/>
        </w:rPr>
        <w:t>敏感用地。</w:t>
      </w:r>
    </w:p>
    <w:p w14:paraId="118F4B5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color w:val="0000FF"/>
          <w:lang w:eastAsia="zh-CN"/>
        </w:rPr>
      </w:pPr>
      <w:r>
        <w:rPr>
          <w:rFonts w:hint="default" w:ascii="Times New Roman" w:hAnsi="Times New Roman" w:eastAsia="宋体" w:cs="Times New Roman"/>
          <w:color w:val="auto"/>
          <w:sz w:val="24"/>
          <w:szCs w:val="24"/>
        </w:rPr>
        <w:t>根据《中华人民共和国土壤污染防治法》（2019年1月1日起实施）第五十九条，用途变更为住宅、公共管理与公共服务用地的地块，变更前应当按照规定进行土壤污染状况调查。《浙江省建设用地土壤污染风险管控和修复监督管理办法</w:t>
      </w:r>
      <w:r>
        <w:rPr>
          <w:rFonts w:hint="eastAsia" w:cs="Times New Roman"/>
          <w:color w:val="auto"/>
          <w:sz w:val="24"/>
          <w:szCs w:val="24"/>
          <w:lang w:eastAsia="zh-CN"/>
        </w:rPr>
        <w:t>（</w:t>
      </w:r>
      <w:r>
        <w:rPr>
          <w:rFonts w:hint="eastAsia" w:cs="Times New Roman"/>
          <w:color w:val="auto"/>
          <w:sz w:val="24"/>
          <w:szCs w:val="24"/>
          <w:lang w:val="en-US" w:eastAsia="zh-CN"/>
        </w:rPr>
        <w:t>修订）</w:t>
      </w:r>
      <w:r>
        <w:rPr>
          <w:rFonts w:hint="default" w:ascii="Times New Roman" w:hAnsi="Times New Roman" w:eastAsia="宋体" w:cs="Times New Roman"/>
          <w:color w:val="auto"/>
          <w:sz w:val="24"/>
          <w:szCs w:val="24"/>
        </w:rPr>
        <w:t>》（浙环发〔202</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47</w:t>
      </w:r>
      <w:r>
        <w:rPr>
          <w:rFonts w:hint="default" w:ascii="Times New Roman" w:hAnsi="Times New Roman" w:eastAsia="宋体" w:cs="Times New Roman"/>
          <w:color w:val="auto"/>
          <w:sz w:val="24"/>
          <w:szCs w:val="24"/>
        </w:rPr>
        <w:t>号）第七条规定，</w:t>
      </w:r>
      <w:r>
        <w:rPr>
          <w:rFonts w:hint="default" w:ascii="Times New Roman" w:hAnsi="Times New Roman" w:eastAsia="宋体" w:cs="Times New Roman"/>
          <w:color w:val="auto"/>
          <w:sz w:val="24"/>
          <w:szCs w:val="24"/>
          <w:lang w:val="en-US" w:eastAsia="zh-CN"/>
        </w:rPr>
        <w:t>本地块属于用途变更地块</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原</w:t>
      </w:r>
      <w:r>
        <w:rPr>
          <w:rFonts w:hint="eastAsia" w:cs="Times New Roman"/>
          <w:color w:val="auto"/>
          <w:sz w:val="24"/>
          <w:szCs w:val="24"/>
          <w:lang w:val="en-US" w:eastAsia="zh-CN"/>
        </w:rPr>
        <w:t>用地性质</w:t>
      </w:r>
      <w:r>
        <w:rPr>
          <w:rFonts w:hint="default" w:ascii="Times New Roman" w:hAnsi="Times New Roman" w:eastAsia="宋体" w:cs="Times New Roman"/>
          <w:color w:val="auto"/>
          <w:sz w:val="24"/>
          <w:szCs w:val="24"/>
          <w:lang w:val="en-US" w:eastAsia="zh-CN"/>
        </w:rPr>
        <w:t>为</w:t>
      </w:r>
      <w:r>
        <w:rPr>
          <w:rFonts w:hint="eastAsia" w:cs="Times New Roman"/>
          <w:color w:val="auto"/>
          <w:sz w:val="24"/>
          <w:szCs w:val="24"/>
          <w:lang w:val="en-US" w:eastAsia="zh-CN"/>
        </w:rPr>
        <w:t>农用地</w:t>
      </w:r>
      <w:r>
        <w:rPr>
          <w:rFonts w:hint="default" w:ascii="Times New Roman" w:hAnsi="Times New Roman" w:eastAsia="宋体" w:cs="Times New Roman"/>
          <w:color w:val="auto"/>
          <w:sz w:val="24"/>
          <w:szCs w:val="24"/>
          <w:lang w:val="en-US" w:eastAsia="zh-CN"/>
        </w:rPr>
        <w:t>，现</w:t>
      </w:r>
      <w:r>
        <w:rPr>
          <w:rFonts w:hint="default" w:ascii="Times New Roman" w:hAnsi="Times New Roman" w:eastAsia="宋体" w:cs="Times New Roman"/>
          <w:color w:val="auto"/>
          <w:sz w:val="24"/>
          <w:szCs w:val="24"/>
        </w:rPr>
        <w:t>地块规划用</w:t>
      </w:r>
      <w:r>
        <w:rPr>
          <w:rFonts w:hint="default" w:ascii="Times New Roman" w:hAnsi="Times New Roman" w:eastAsia="宋体" w:cs="Times New Roman"/>
          <w:color w:val="auto"/>
          <w:sz w:val="24"/>
          <w:szCs w:val="24"/>
          <w:highlight w:val="none"/>
        </w:rPr>
        <w:t>途为</w:t>
      </w:r>
      <w:r>
        <w:rPr>
          <w:rFonts w:hint="default" w:ascii="Times New Roman" w:hAnsi="Times New Roman" w:cs="Times New Roman"/>
          <w:color w:val="000000"/>
          <w:sz w:val="24"/>
          <w:szCs w:val="32"/>
          <w:highlight w:val="none"/>
          <w:lang w:val="en-US" w:eastAsia="zh-CN"/>
        </w:rPr>
        <w:t>商业服务用地/居住用地</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lang w:val="en-US" w:eastAsia="zh-CN"/>
        </w:rPr>
        <w:t>属敏感用地，为甲类地块，</w:t>
      </w:r>
      <w:r>
        <w:rPr>
          <w:rFonts w:hint="default" w:ascii="Times New Roman" w:hAnsi="Times New Roman" w:eastAsia="宋体" w:cs="Times New Roman"/>
          <w:color w:val="auto"/>
          <w:sz w:val="24"/>
          <w:szCs w:val="24"/>
        </w:rPr>
        <w:t>责任人应按规定进行土壤污染状况调查，</w:t>
      </w:r>
      <w:r>
        <w:rPr>
          <w:rFonts w:hint="eastAsia" w:cs="Times New Roman"/>
          <w:color w:val="auto"/>
          <w:sz w:val="24"/>
          <w:szCs w:val="24"/>
          <w:lang w:val="en-US" w:eastAsia="zh-CN"/>
        </w:rPr>
        <w:t>浙江新环环保科技有限公司</w:t>
      </w:r>
      <w:r>
        <w:rPr>
          <w:rFonts w:hint="default" w:ascii="Times New Roman" w:hAnsi="Times New Roman" w:eastAsia="宋体" w:cs="Times New Roman"/>
          <w:color w:val="auto"/>
          <w:sz w:val="24"/>
          <w:szCs w:val="24"/>
        </w:rPr>
        <w:t>受</w:t>
      </w:r>
      <w:r>
        <w:rPr>
          <w:rFonts w:hint="default" w:ascii="Times New Roman" w:hAnsi="Times New Roman" w:eastAsia="宋体" w:cs="Times New Roman"/>
          <w:color w:val="auto"/>
          <w:sz w:val="24"/>
          <w:szCs w:val="24"/>
          <w:lang w:val="en-US" w:eastAsia="zh-CN"/>
        </w:rPr>
        <w:t>义乌市</w:t>
      </w:r>
      <w:r>
        <w:rPr>
          <w:rFonts w:hint="eastAsia" w:cs="Times New Roman"/>
          <w:color w:val="auto"/>
          <w:sz w:val="24"/>
          <w:szCs w:val="24"/>
          <w:lang w:val="en-US" w:eastAsia="zh-CN"/>
        </w:rPr>
        <w:t>人民政府福田</w:t>
      </w:r>
      <w:r>
        <w:rPr>
          <w:rFonts w:hint="default" w:ascii="Times New Roman" w:hAnsi="Times New Roman" w:eastAsia="宋体" w:cs="Times New Roman"/>
          <w:color w:val="auto"/>
          <w:sz w:val="24"/>
          <w:szCs w:val="24"/>
          <w:lang w:val="en-US" w:eastAsia="zh-CN"/>
        </w:rPr>
        <w:t>街道办事处</w:t>
      </w:r>
      <w:r>
        <w:rPr>
          <w:rFonts w:hint="default" w:ascii="Times New Roman" w:hAnsi="Times New Roman" w:eastAsia="宋体" w:cs="Times New Roman"/>
          <w:color w:val="auto"/>
          <w:sz w:val="24"/>
          <w:szCs w:val="24"/>
        </w:rPr>
        <w:t>委托，承担了</w:t>
      </w:r>
      <w:r>
        <w:rPr>
          <w:rFonts w:hint="eastAsia" w:cs="Times New Roman"/>
          <w:color w:val="auto"/>
          <w:sz w:val="24"/>
          <w:szCs w:val="24"/>
          <w:lang w:val="en-US" w:eastAsia="zh-CN"/>
        </w:rPr>
        <w:t>商城大道南侧地块A</w:t>
      </w:r>
      <w:r>
        <w:rPr>
          <w:rFonts w:hint="default" w:ascii="Times New Roman" w:hAnsi="Times New Roman" w:eastAsia="宋体" w:cs="Times New Roman"/>
          <w:color w:val="auto"/>
          <w:sz w:val="24"/>
          <w:szCs w:val="24"/>
        </w:rPr>
        <w:t>的土壤污染状况调查工作。</w:t>
      </w:r>
    </w:p>
    <w:p w14:paraId="77FAD6D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2" w:firstLineChars="200"/>
        <w:textAlignment w:val="auto"/>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szCs w:val="24"/>
          <w:lang w:val="en-US" w:eastAsia="zh-CN"/>
        </w:rPr>
        <w:t>（2）地块</w:t>
      </w:r>
      <w:r>
        <w:rPr>
          <w:rFonts w:hint="eastAsia" w:cs="Times New Roman"/>
          <w:b/>
          <w:bCs/>
          <w:sz w:val="24"/>
          <w:szCs w:val="24"/>
          <w:lang w:val="en-US" w:eastAsia="zh-CN"/>
        </w:rPr>
        <w:t>和周边地块</w:t>
      </w:r>
      <w:r>
        <w:rPr>
          <w:rFonts w:hint="default" w:ascii="Times New Roman" w:hAnsi="Times New Roman" w:eastAsia="宋体" w:cs="Times New Roman"/>
          <w:b/>
          <w:bCs/>
          <w:sz w:val="24"/>
          <w:szCs w:val="24"/>
          <w:lang w:val="en-US" w:eastAsia="zh-CN"/>
        </w:rPr>
        <w:t>调查结果</w:t>
      </w:r>
    </w:p>
    <w:p w14:paraId="5FE936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通过现场踏勘、人员访谈以及查阅历史资料可知</w:t>
      </w:r>
      <w:r>
        <w:rPr>
          <w:rFonts w:hint="default" w:ascii="Times New Roman" w:hAnsi="Times New Roman" w:eastAsia="宋体" w:cs="Times New Roman"/>
          <w:sz w:val="24"/>
          <w:szCs w:val="24"/>
          <w:highlight w:val="none"/>
          <w:lang w:val="en-US" w:eastAsia="zh-CN"/>
        </w:rPr>
        <w:t>调查地块</w:t>
      </w:r>
      <w:r>
        <w:rPr>
          <w:rFonts w:hint="eastAsia" w:cs="Times New Roman"/>
          <w:sz w:val="24"/>
          <w:szCs w:val="24"/>
          <w:highlight w:val="none"/>
          <w:lang w:val="en-US" w:eastAsia="zh-CN"/>
        </w:rPr>
        <w:t>历史上</w:t>
      </w:r>
      <w:r>
        <w:rPr>
          <w:rFonts w:hint="default" w:ascii="Times New Roman" w:hAnsi="Times New Roman" w:eastAsia="宋体" w:cs="Times New Roman"/>
          <w:sz w:val="24"/>
          <w:szCs w:val="24"/>
          <w:highlight w:val="none"/>
          <w:lang w:val="en-US" w:eastAsia="zh-CN"/>
        </w:rPr>
        <w:t>为</w:t>
      </w:r>
      <w:r>
        <w:rPr>
          <w:rFonts w:hint="default" w:ascii="Times New Roman" w:hAnsi="Times New Roman" w:eastAsia="宋体" w:cs="Times New Roman"/>
          <w:sz w:val="24"/>
          <w:highlight w:val="none"/>
          <w:lang w:val="en-US" w:eastAsia="zh-CN"/>
        </w:rPr>
        <w:t>耕地、</w:t>
      </w:r>
      <w:r>
        <w:rPr>
          <w:rFonts w:hint="eastAsia" w:cs="Times New Roman"/>
          <w:sz w:val="24"/>
          <w:highlight w:val="none"/>
          <w:lang w:val="en-US" w:eastAsia="zh-CN"/>
        </w:rPr>
        <w:t>绿化带</w:t>
      </w:r>
      <w:r>
        <w:rPr>
          <w:rFonts w:hint="eastAsia" w:cs="Times New Roman"/>
          <w:sz w:val="24"/>
          <w:szCs w:val="24"/>
          <w:highlight w:val="none"/>
          <w:lang w:val="en-US" w:eastAsia="zh-CN"/>
        </w:rPr>
        <w:t>，现为绿化带和万境观云项目临时生活区；</w:t>
      </w:r>
      <w:r>
        <w:rPr>
          <w:rFonts w:hint="default" w:ascii="Times New Roman" w:hAnsi="Times New Roman" w:eastAsia="宋体" w:cs="Times New Roman"/>
          <w:sz w:val="24"/>
          <w:szCs w:val="24"/>
          <w:highlight w:val="none"/>
          <w:lang w:val="en-US" w:eastAsia="zh-CN"/>
        </w:rPr>
        <w:t>地块四周历史</w:t>
      </w:r>
      <w:r>
        <w:rPr>
          <w:rFonts w:hint="eastAsia" w:cs="Times New Roman"/>
          <w:sz w:val="24"/>
          <w:szCs w:val="24"/>
          <w:highlight w:val="none"/>
          <w:lang w:val="en-US" w:eastAsia="zh-CN"/>
        </w:rPr>
        <w:t>上</w:t>
      </w:r>
      <w:r>
        <w:rPr>
          <w:rFonts w:hint="default" w:ascii="Times New Roman" w:hAnsi="Times New Roman" w:cs="Times New Roman"/>
          <w:color w:val="auto"/>
          <w:sz w:val="24"/>
          <w:szCs w:val="24"/>
          <w:highlight w:val="none"/>
          <w:lang w:val="en-US" w:eastAsia="zh-CN"/>
        </w:rPr>
        <w:t>主要</w:t>
      </w:r>
      <w:r>
        <w:rPr>
          <w:rFonts w:hint="eastAsia" w:ascii="Times New Roman" w:hAnsi="Times New Roman" w:cs="Times New Roman"/>
          <w:color w:val="auto"/>
          <w:sz w:val="24"/>
          <w:szCs w:val="24"/>
          <w:highlight w:val="none"/>
          <w:lang w:val="en-US" w:eastAsia="zh-CN"/>
        </w:rPr>
        <w:t>为</w:t>
      </w:r>
      <w:r>
        <w:rPr>
          <w:rFonts w:hint="eastAsia" w:ascii="Times New Roman" w:hAnsi="Times New Roman" w:cs="Times New Roman"/>
          <w:color w:val="auto"/>
          <w:kern w:val="2"/>
          <w:sz w:val="24"/>
          <w:szCs w:val="24"/>
          <w:highlight w:val="none"/>
          <w:lang w:val="en-US" w:eastAsia="zh-CN" w:bidi="ar-SA"/>
        </w:rPr>
        <w:t>农</w:t>
      </w:r>
      <w:r>
        <w:rPr>
          <w:rFonts w:hint="eastAsia" w:cs="Times New Roman"/>
          <w:color w:val="auto"/>
          <w:kern w:val="2"/>
          <w:sz w:val="24"/>
          <w:szCs w:val="24"/>
          <w:highlight w:val="none"/>
          <w:lang w:val="en-US" w:eastAsia="zh-CN" w:bidi="ar-SA"/>
        </w:rPr>
        <w:t>用地</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道路</w:t>
      </w:r>
      <w:r>
        <w:rPr>
          <w:rFonts w:hint="eastAsia" w:ascii="Times New Roman" w:hAnsi="Times New Roman" w:cs="Times New Roman"/>
          <w:color w:val="auto"/>
          <w:kern w:val="2"/>
          <w:sz w:val="24"/>
          <w:szCs w:val="24"/>
          <w:highlight w:val="none"/>
          <w:lang w:val="en-US" w:eastAsia="zh-CN" w:bidi="ar-SA"/>
        </w:rPr>
        <w:t>、居民区</w:t>
      </w:r>
      <w:r>
        <w:rPr>
          <w:rFonts w:hint="eastAsia" w:cs="Times New Roman"/>
          <w:color w:val="auto"/>
          <w:kern w:val="2"/>
          <w:sz w:val="24"/>
          <w:szCs w:val="24"/>
          <w:highlight w:val="none"/>
          <w:lang w:val="en-US" w:eastAsia="zh-CN" w:bidi="ar-SA"/>
        </w:rPr>
        <w:t>、义乌市天然气有限公司、商城大道隧道工程项目部</w:t>
      </w:r>
      <w:r>
        <w:rPr>
          <w:rFonts w:hint="eastAsia" w:ascii="Times New Roman" w:hAnsi="Times New Roman" w:cs="Times New Roman"/>
          <w:color w:val="auto"/>
          <w:kern w:val="2"/>
          <w:sz w:val="24"/>
          <w:szCs w:val="24"/>
          <w:highlight w:val="none"/>
          <w:lang w:val="en-US" w:eastAsia="zh-CN" w:bidi="ar-SA"/>
        </w:rPr>
        <w:t>等</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农用地种植</w:t>
      </w:r>
      <w:r>
        <w:rPr>
          <w:rFonts w:hint="default" w:ascii="Times New Roman" w:hAnsi="Times New Roman" w:eastAsia="宋体" w:cs="Times New Roman"/>
          <w:sz w:val="24"/>
          <w:szCs w:val="24"/>
          <w:highlight w:val="none"/>
          <w:lang w:val="en-US" w:eastAsia="zh-CN"/>
        </w:rPr>
        <w:t>期间可能会使用敌敌畏等农药驱虫，但一般使用量较少。根据相关文献，有机氯、有机磷农药因其化学结构的差异，半衰期在几个月到几年不等。我国自1982年起禁用较难降解的DDT，至今已约</w:t>
      </w:r>
      <w:r>
        <w:rPr>
          <w:rFonts w:hint="eastAsia" w:cs="Times New Roman"/>
          <w:sz w:val="24"/>
          <w:szCs w:val="24"/>
          <w:highlight w:val="none"/>
          <w:lang w:val="en-US" w:eastAsia="zh-CN"/>
        </w:rPr>
        <w:t>42</w:t>
      </w:r>
      <w:r>
        <w:rPr>
          <w:rFonts w:hint="default" w:ascii="Times New Roman" w:hAnsi="Times New Roman" w:eastAsia="宋体" w:cs="Times New Roman"/>
          <w:sz w:val="24"/>
          <w:szCs w:val="24"/>
          <w:highlight w:val="none"/>
          <w:lang w:val="en-US" w:eastAsia="zh-CN"/>
        </w:rPr>
        <w:t>年，以3年的半衰期计算，如今土壤中的浓度</w:t>
      </w:r>
      <w:r>
        <w:rPr>
          <w:rFonts w:hint="eastAsia" w:cs="Times New Roman"/>
          <w:sz w:val="24"/>
          <w:szCs w:val="24"/>
          <w:highlight w:val="none"/>
          <w:lang w:val="en-US" w:eastAsia="zh-CN"/>
        </w:rPr>
        <w:t>已</w:t>
      </w:r>
      <w:r>
        <w:rPr>
          <w:rFonts w:hint="default" w:ascii="Times New Roman" w:hAnsi="Times New Roman" w:eastAsia="宋体" w:cs="Times New Roman"/>
          <w:sz w:val="24"/>
          <w:szCs w:val="24"/>
          <w:highlight w:val="none"/>
          <w:lang w:val="en-US" w:eastAsia="zh-CN"/>
        </w:rPr>
        <w:t>削减至最初的万分之一，农药残留的可能性较小，对土壤环境影响较小。</w:t>
      </w:r>
      <w:r>
        <w:rPr>
          <w:rFonts w:hint="eastAsia" w:cs="Times New Roman"/>
          <w:sz w:val="24"/>
          <w:szCs w:val="24"/>
          <w:highlight w:val="none"/>
          <w:lang w:val="en-US" w:eastAsia="zh-CN"/>
        </w:rPr>
        <w:t>居民区、</w:t>
      </w:r>
      <w:r>
        <w:rPr>
          <w:rFonts w:hint="eastAsia" w:cs="Times New Roman"/>
          <w:color w:val="auto"/>
          <w:kern w:val="2"/>
          <w:sz w:val="24"/>
          <w:szCs w:val="24"/>
          <w:highlight w:val="none"/>
          <w:lang w:val="en-US" w:eastAsia="zh-CN" w:bidi="ar-SA"/>
        </w:rPr>
        <w:t>商城大道隧道工程项目部</w:t>
      </w:r>
      <w:r>
        <w:rPr>
          <w:rFonts w:hint="eastAsia" w:cs="Times New Roman"/>
          <w:sz w:val="24"/>
          <w:szCs w:val="24"/>
          <w:highlight w:val="none"/>
          <w:lang w:val="en-US" w:eastAsia="zh-CN"/>
        </w:rPr>
        <w:t>生活污水经化粪池处理后纳管排放</w:t>
      </w:r>
      <w:r>
        <w:rPr>
          <w:rFonts w:hint="default" w:ascii="Times New Roman" w:hAnsi="Times New Roman" w:eastAsia="宋体" w:cs="Times New Roman"/>
          <w:color w:val="auto"/>
          <w:sz w:val="24"/>
          <w:szCs w:val="24"/>
          <w:highlight w:val="none"/>
          <w:lang w:val="en-US" w:eastAsia="zh-CN"/>
        </w:rPr>
        <w:t>，生活垃圾妥善处理，</w:t>
      </w:r>
      <w:r>
        <w:rPr>
          <w:rFonts w:hint="default" w:ascii="Times New Roman" w:hAnsi="Times New Roman" w:eastAsia="宋体" w:cs="Times New Roman"/>
          <w:sz w:val="24"/>
          <w:highlight w:val="none"/>
          <w:lang w:val="en-US" w:eastAsia="zh-CN"/>
        </w:rPr>
        <w:t>不会对本地块土壤和地下水造成影响</w:t>
      </w:r>
      <w:r>
        <w:rPr>
          <w:rFonts w:hint="eastAsia" w:cs="Times New Roman"/>
          <w:sz w:val="24"/>
          <w:highlight w:val="none"/>
          <w:lang w:val="en-US" w:eastAsia="zh-CN"/>
        </w:rPr>
        <w:t>。根据</w:t>
      </w:r>
      <w:r>
        <w:rPr>
          <w:rFonts w:hint="default" w:ascii="Times New Roman" w:hAnsi="Times New Roman" w:eastAsia="宋体"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西城路与商城大道交叉口东南侧地块（一期）土壤污染状况初步调查报告（备案稿）</w:t>
      </w:r>
      <w:r>
        <w:rPr>
          <w:rFonts w:hint="default" w:ascii="Times New Roman" w:hAnsi="Times New Roman" w:eastAsia="宋体"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（浙江中清环保科技有限公司编制，2023年9月）</w:t>
      </w:r>
      <w:r>
        <w:rPr>
          <w:rFonts w:hint="eastAsia" w:cs="Times New Roman"/>
          <w:color w:val="auto"/>
          <w:sz w:val="24"/>
          <w:szCs w:val="24"/>
          <w:highlight w:val="none"/>
          <w:lang w:val="en-US" w:eastAsia="zh-CN"/>
        </w:rPr>
        <w:t>，义乌市天然气有限公司所在地块不属于污染地块，满足《土壤环境质量建设用地土壤风险管控标准（试行）》（</w:t>
      </w:r>
      <w:r>
        <w:rPr>
          <w:rFonts w:hint="eastAsia" w:ascii="Times New Roman" w:hAnsi="Times New Roman" w:eastAsia="宋体" w:cs="Times New Roman"/>
          <w:b w:val="0"/>
          <w:bCs w:val="0"/>
          <w:color w:val="auto"/>
          <w:kern w:val="2"/>
          <w:sz w:val="24"/>
          <w:szCs w:val="24"/>
          <w:lang w:val="en-US" w:eastAsia="zh-CN" w:bidi="ar-SA"/>
        </w:rPr>
        <w:t>GB36600-2018</w:t>
      </w:r>
      <w:r>
        <w:rPr>
          <w:rFonts w:hint="eastAsia" w:cs="Times New Roman"/>
          <w:color w:val="auto"/>
          <w:sz w:val="24"/>
          <w:szCs w:val="24"/>
          <w:highlight w:val="none"/>
          <w:lang w:val="en-US" w:eastAsia="zh-CN"/>
        </w:rPr>
        <w:t>）中所规定的第一类用地要求，因此不会对本地块土壤和地下水造成影响。</w:t>
      </w:r>
      <w:r>
        <w:rPr>
          <w:rFonts w:hint="eastAsia" w:cs="Times New Roman"/>
          <w:color w:val="auto"/>
          <w:kern w:val="2"/>
          <w:sz w:val="24"/>
          <w:szCs w:val="32"/>
          <w:highlight w:val="none"/>
          <w:lang w:val="en-US" w:eastAsia="zh-CN" w:bidi="ar-SA"/>
        </w:rPr>
        <w:t>周边地块</w:t>
      </w:r>
      <w:r>
        <w:rPr>
          <w:rFonts w:hint="default" w:ascii="Times New Roman" w:hAnsi="Times New Roman" w:eastAsia="宋体" w:cs="Times New Roman"/>
          <w:color w:val="auto"/>
          <w:kern w:val="2"/>
          <w:sz w:val="24"/>
          <w:szCs w:val="32"/>
          <w:highlight w:val="none"/>
          <w:lang w:val="en-US" w:eastAsia="zh-CN" w:bidi="ar-SA"/>
        </w:rPr>
        <w:t>历史上未涉及环境污染事故、危险废物堆放、固废堆放与倾倒、固废填埋等，</w:t>
      </w:r>
      <w:r>
        <w:rPr>
          <w:rFonts w:hint="eastAsia" w:ascii="Times New Roman" w:hAnsi="Times New Roman" w:eastAsia="宋体" w:cs="Times New Roman"/>
          <w:color w:val="auto"/>
          <w:kern w:val="2"/>
          <w:sz w:val="24"/>
          <w:szCs w:val="32"/>
          <w:highlight w:val="none"/>
          <w:lang w:val="en-US" w:eastAsia="zh-CN" w:bidi="ar-SA"/>
        </w:rPr>
        <w:t>不</w:t>
      </w:r>
      <w:r>
        <w:rPr>
          <w:rFonts w:hint="default" w:ascii="Times New Roman" w:hAnsi="Times New Roman" w:eastAsia="宋体" w:cs="Times New Roman"/>
          <w:color w:val="auto"/>
          <w:kern w:val="2"/>
          <w:sz w:val="24"/>
          <w:szCs w:val="32"/>
          <w:highlight w:val="none"/>
          <w:lang w:val="en-US" w:eastAsia="zh-CN" w:bidi="ar-SA"/>
        </w:rPr>
        <w:t>存在</w:t>
      </w:r>
      <w:r>
        <w:rPr>
          <w:rFonts w:hint="eastAsia" w:cs="Times New Roman"/>
          <w:color w:val="auto"/>
          <w:kern w:val="2"/>
          <w:sz w:val="24"/>
          <w:szCs w:val="32"/>
          <w:highlight w:val="none"/>
          <w:lang w:val="en-US" w:eastAsia="zh-CN" w:bidi="ar-SA"/>
        </w:rPr>
        <w:t>其他可能</w:t>
      </w:r>
      <w:r>
        <w:rPr>
          <w:rFonts w:hint="default" w:ascii="Times New Roman" w:hAnsi="Times New Roman" w:eastAsia="宋体" w:cs="Times New Roman"/>
          <w:color w:val="auto"/>
          <w:kern w:val="2"/>
          <w:sz w:val="24"/>
          <w:szCs w:val="32"/>
          <w:highlight w:val="none"/>
          <w:lang w:val="en-US" w:eastAsia="zh-CN" w:bidi="ar-SA"/>
        </w:rPr>
        <w:t>造成土壤污染的情形</w:t>
      </w:r>
      <w:r>
        <w:rPr>
          <w:rFonts w:hint="eastAsia" w:ascii="Times New Roman" w:hAnsi="Times New Roman" w:eastAsia="宋体" w:cs="Times New Roman"/>
          <w:color w:val="auto"/>
          <w:kern w:val="2"/>
          <w:sz w:val="24"/>
          <w:szCs w:val="32"/>
          <w:highlight w:val="none"/>
          <w:lang w:val="en-US" w:eastAsia="zh-CN" w:bidi="ar-SA"/>
        </w:rPr>
        <w:t>。</w:t>
      </w:r>
    </w:p>
    <w:p w14:paraId="7EB4326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sz w:val="24"/>
          <w:highlight w:val="none"/>
          <w:lang w:val="en-US" w:eastAsia="zh-CN"/>
        </w:rPr>
      </w:pPr>
      <w:r>
        <w:rPr>
          <w:rFonts w:hint="eastAsia" w:cs="Times New Roman"/>
          <w:sz w:val="24"/>
          <w:szCs w:val="24"/>
          <w:highlight w:val="none"/>
          <w:lang w:val="en-US" w:eastAsia="zh-CN"/>
        </w:rPr>
        <w:t>耕地主要用于附近村民自种时令蔬菜。农作物</w:t>
      </w:r>
      <w:r>
        <w:rPr>
          <w:rFonts w:hint="eastAsia" w:cs="Times New Roman"/>
          <w:sz w:val="24"/>
          <w:highlight w:val="none"/>
          <w:lang w:val="en-US" w:eastAsia="zh-CN"/>
        </w:rPr>
        <w:t>种植</w:t>
      </w:r>
      <w:r>
        <w:rPr>
          <w:rFonts w:hint="default" w:ascii="Times New Roman" w:hAnsi="Times New Roman" w:eastAsia="宋体" w:cs="Times New Roman"/>
          <w:sz w:val="24"/>
          <w:highlight w:val="none"/>
          <w:lang w:val="en-US" w:eastAsia="zh-CN"/>
        </w:rPr>
        <w:t>期间可能会使用农药驱虫，使用量较少</w:t>
      </w:r>
      <w:r>
        <w:rPr>
          <w:rFonts w:hint="eastAsia" w:cs="Times New Roman"/>
          <w:sz w:val="24"/>
          <w:highlight w:val="none"/>
          <w:lang w:val="en-US" w:eastAsia="zh-CN"/>
        </w:rPr>
        <w:t>，在时间作用消减下</w:t>
      </w:r>
      <w:r>
        <w:rPr>
          <w:rFonts w:hint="default" w:ascii="Times New Roman" w:hAnsi="Times New Roman" w:eastAsia="宋体" w:cs="Times New Roman"/>
          <w:sz w:val="24"/>
          <w:highlight w:val="none"/>
          <w:lang w:val="en-US" w:eastAsia="zh-CN"/>
        </w:rPr>
        <w:t>农药残留的可能性较小，对土壤环境影响较小</w:t>
      </w:r>
      <w:r>
        <w:rPr>
          <w:rFonts w:hint="eastAsia" w:cs="Times New Roman"/>
          <w:sz w:val="24"/>
          <w:highlight w:val="none"/>
          <w:lang w:val="en-US" w:eastAsia="zh-CN"/>
        </w:rPr>
        <w:t>。</w:t>
      </w:r>
      <w:r>
        <w:rPr>
          <w:rFonts w:hint="eastAsia" w:cs="Times New Roman"/>
          <w:sz w:val="24"/>
          <w:szCs w:val="24"/>
          <w:highlight w:val="none"/>
          <w:lang w:val="en-US" w:eastAsia="zh-CN"/>
        </w:rPr>
        <w:t>万境观云项目生活区生活污水经化粪池处理后纳管排放</w:t>
      </w:r>
      <w:r>
        <w:rPr>
          <w:rFonts w:hint="default" w:ascii="Times New Roman" w:hAnsi="Times New Roman" w:eastAsia="宋体" w:cs="Times New Roman"/>
          <w:color w:val="auto"/>
          <w:sz w:val="24"/>
          <w:szCs w:val="24"/>
          <w:highlight w:val="none"/>
          <w:lang w:val="en-US" w:eastAsia="zh-CN"/>
        </w:rPr>
        <w:t>，生活垃圾妥善处理，</w:t>
      </w:r>
      <w:r>
        <w:rPr>
          <w:rFonts w:hint="default" w:ascii="Times New Roman" w:hAnsi="Times New Roman" w:eastAsia="宋体" w:cs="Times New Roman"/>
          <w:sz w:val="24"/>
          <w:highlight w:val="none"/>
          <w:lang w:val="en-US" w:eastAsia="zh-CN"/>
        </w:rPr>
        <w:t>不会对本地块土壤和地下水造成影响</w:t>
      </w:r>
      <w:r>
        <w:rPr>
          <w:rFonts w:hint="eastAsia" w:cs="Times New Roman"/>
          <w:sz w:val="24"/>
          <w:highlight w:val="none"/>
          <w:lang w:val="en-US" w:eastAsia="zh-CN"/>
        </w:rPr>
        <w:t>，</w:t>
      </w:r>
      <w:r>
        <w:rPr>
          <w:rFonts w:hint="eastAsia" w:cs="Times New Roman"/>
          <w:sz w:val="24"/>
          <w:szCs w:val="24"/>
          <w:highlight w:val="none"/>
          <w:lang w:val="en-US" w:eastAsia="zh-CN"/>
        </w:rPr>
        <w:t>综上所述，地块及周边地块不存在污染源。</w:t>
      </w:r>
    </w:p>
    <w:p w14:paraId="1B187B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cs="Times New Roman"/>
          <w:b/>
          <w:bCs/>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（3）</w:t>
      </w:r>
      <w:r>
        <w:rPr>
          <w:rFonts w:hint="eastAsia" w:cs="Times New Roman"/>
          <w:b/>
          <w:bCs/>
          <w:color w:val="auto"/>
          <w:sz w:val="24"/>
          <w:szCs w:val="24"/>
          <w:lang w:val="en-US" w:eastAsia="zh-CN"/>
        </w:rPr>
        <w:t>现场快筛结果</w:t>
      </w:r>
    </w:p>
    <w:p w14:paraId="5CEAC9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我公司于</w:t>
      </w:r>
      <w:r>
        <w:rPr>
          <w:rFonts w:hint="eastAsia" w:ascii="Times New Roman" w:hAnsi="Times New Roman" w:eastAsia="宋体" w:cs="Times New Roman"/>
          <w:b w:val="0"/>
          <w:bCs w:val="0"/>
          <w:color w:val="auto"/>
          <w:kern w:val="2"/>
          <w:sz w:val="24"/>
          <w:szCs w:val="24"/>
          <w:lang w:val="en-US" w:eastAsia="zh-CN" w:bidi="ar-SA"/>
        </w:rPr>
        <w:t>2025年3</w:t>
      </w:r>
      <w:r>
        <w:rPr>
          <w:rFonts w:hint="default" w:ascii="Times New Roman" w:hAnsi="Times New Roman" w:eastAsia="宋体" w:cs="Times New Roman"/>
          <w:b w:val="0"/>
          <w:bCs w:val="0"/>
          <w:color w:val="auto"/>
          <w:kern w:val="2"/>
          <w:sz w:val="24"/>
          <w:szCs w:val="24"/>
          <w:lang w:val="en-US" w:eastAsia="zh-CN" w:bidi="ar-SA"/>
        </w:rPr>
        <w:t>月</w:t>
      </w:r>
      <w:r>
        <w:rPr>
          <w:rFonts w:hint="eastAsia" w:ascii="Times New Roman" w:hAnsi="Times New Roman" w:eastAsia="宋体" w:cs="Times New Roman"/>
          <w:b w:val="0"/>
          <w:bCs w:val="0"/>
          <w:color w:val="auto"/>
          <w:kern w:val="2"/>
          <w:sz w:val="24"/>
          <w:szCs w:val="24"/>
          <w:lang w:val="en-US" w:eastAsia="zh-CN" w:bidi="ar-SA"/>
        </w:rPr>
        <w:t>19</w:t>
      </w:r>
      <w:r>
        <w:rPr>
          <w:rFonts w:hint="eastAsia" w:ascii="宋体" w:hAnsi="宋体"/>
          <w:color w:val="auto"/>
          <w:sz w:val="24"/>
          <w:lang w:val="en-US" w:eastAsia="zh-CN"/>
        </w:rPr>
        <w:t>日委托浙江丰合检测技术股份有限公司对本地块及周边区域进行土壤快筛采样检测，地块内设置</w:t>
      </w:r>
      <w:r>
        <w:rPr>
          <w:rFonts w:hint="eastAsia" w:cs="Times New Roman"/>
          <w:b w:val="0"/>
          <w:bCs w:val="0"/>
          <w:color w:val="auto"/>
          <w:kern w:val="2"/>
          <w:sz w:val="24"/>
          <w:szCs w:val="24"/>
          <w:lang w:val="en-US" w:eastAsia="zh-CN" w:bidi="ar-SA"/>
        </w:rPr>
        <w:t>11</w:t>
      </w:r>
      <w:r>
        <w:rPr>
          <w:rFonts w:hint="eastAsia" w:ascii="宋体" w:hAnsi="宋体"/>
          <w:color w:val="auto"/>
          <w:sz w:val="24"/>
          <w:lang w:val="en-US" w:eastAsia="zh-CN"/>
        </w:rPr>
        <w:t>个快筛点位，</w:t>
      </w:r>
      <w:r>
        <w:rPr>
          <w:rFonts w:hint="eastAsia" w:ascii="Times New Roman" w:hAnsi="Times New Roman" w:eastAsia="宋体" w:cs="Times New Roman"/>
          <w:b w:val="0"/>
          <w:bCs w:val="0"/>
          <w:color w:val="auto"/>
          <w:kern w:val="2"/>
          <w:sz w:val="24"/>
          <w:szCs w:val="24"/>
          <w:lang w:val="en-US" w:eastAsia="zh-CN" w:bidi="ar-SA"/>
        </w:rPr>
        <w:t>1</w:t>
      </w:r>
      <w:r>
        <w:rPr>
          <w:rFonts w:hint="eastAsia" w:ascii="宋体" w:hAnsi="宋体"/>
          <w:color w:val="auto"/>
          <w:sz w:val="24"/>
          <w:lang w:val="en-US" w:eastAsia="zh-CN"/>
        </w:rPr>
        <w:t>个对照点布设在地块外东侧。通过现场快筛结果分析，地块内</w:t>
      </w:r>
      <w:r>
        <w:rPr>
          <w:rFonts w:hint="eastAsia" w:ascii="Times New Roman" w:hAnsi="Times New Roman" w:eastAsia="宋体" w:cs="Times New Roman"/>
          <w:b w:val="0"/>
          <w:bCs w:val="0"/>
          <w:color w:val="auto"/>
          <w:kern w:val="2"/>
          <w:sz w:val="24"/>
          <w:szCs w:val="24"/>
          <w:lang w:val="en-US" w:eastAsia="zh-CN" w:bidi="ar-SA"/>
        </w:rPr>
        <w:t>PID</w:t>
      </w:r>
      <w:r>
        <w:rPr>
          <w:rFonts w:hint="eastAsia" w:ascii="宋体" w:hAnsi="宋体"/>
          <w:color w:val="auto"/>
          <w:sz w:val="24"/>
          <w:lang w:val="en-US" w:eastAsia="zh-CN"/>
        </w:rPr>
        <w:t>现场检出响应值为</w:t>
      </w:r>
      <w:r>
        <w:rPr>
          <w:rFonts w:hint="eastAsia" w:cs="Times New Roman"/>
          <w:b w:val="0"/>
          <w:bCs w:val="0"/>
          <w:color w:val="auto"/>
          <w:kern w:val="2"/>
          <w:sz w:val="24"/>
          <w:szCs w:val="24"/>
          <w:lang w:val="en-US" w:eastAsia="zh-CN" w:bidi="ar-SA"/>
        </w:rPr>
        <w:t>0.529</w:t>
      </w:r>
      <w:r>
        <w:rPr>
          <w:rFonts w:hint="eastAsia"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1.211</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，地块外对照点</w:t>
      </w:r>
      <w:r>
        <w:rPr>
          <w:rFonts w:hint="eastAsia" w:ascii="Times New Roman" w:hAnsi="Times New Roman" w:eastAsia="宋体" w:cs="Times New Roman"/>
          <w:b w:val="0"/>
          <w:bCs w:val="0"/>
          <w:color w:val="auto"/>
          <w:kern w:val="2"/>
          <w:sz w:val="24"/>
          <w:szCs w:val="24"/>
          <w:lang w:val="en-US" w:eastAsia="zh-CN" w:bidi="ar-SA"/>
        </w:rPr>
        <w:t xml:space="preserve"> PID </w:t>
      </w:r>
      <w:r>
        <w:rPr>
          <w:rFonts w:hint="eastAsia" w:ascii="宋体" w:hAnsi="宋体"/>
          <w:color w:val="auto"/>
          <w:sz w:val="24"/>
          <w:lang w:val="en-US" w:eastAsia="zh-CN"/>
        </w:rPr>
        <w:t>快速检测结果为</w:t>
      </w:r>
      <w:r>
        <w:rPr>
          <w:rFonts w:hint="eastAsia" w:cs="Times New Roman"/>
          <w:b w:val="0"/>
          <w:bCs w:val="0"/>
          <w:color w:val="auto"/>
          <w:kern w:val="2"/>
          <w:sz w:val="24"/>
          <w:szCs w:val="24"/>
          <w:lang w:val="en-US" w:eastAsia="zh-CN" w:bidi="ar-SA"/>
        </w:rPr>
        <w:t>0.471</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 xml:space="preserve">，结果表明土壤总挥发性有机物浓度较低；地块内现场 </w:t>
      </w:r>
      <w:r>
        <w:rPr>
          <w:rFonts w:hint="eastAsia" w:ascii="Times New Roman" w:hAnsi="Times New Roman" w:eastAsia="宋体" w:cs="Times New Roman"/>
          <w:b w:val="0"/>
          <w:bCs w:val="0"/>
          <w:color w:val="auto"/>
          <w:kern w:val="2"/>
          <w:sz w:val="24"/>
          <w:szCs w:val="24"/>
          <w:lang w:val="en-US" w:eastAsia="zh-CN" w:bidi="ar-SA"/>
        </w:rPr>
        <w:t xml:space="preserve">XRF </w:t>
      </w:r>
      <w:r>
        <w:rPr>
          <w:rFonts w:hint="eastAsia" w:ascii="宋体" w:hAnsi="宋体"/>
          <w:color w:val="auto"/>
          <w:sz w:val="24"/>
          <w:lang w:val="en-US" w:eastAsia="zh-CN"/>
        </w:rPr>
        <w:t>重金属快速检测结果显示镉为</w:t>
      </w:r>
      <w:r>
        <w:rPr>
          <w:rFonts w:hint="eastAsia" w:cs="Times New Roman"/>
          <w:b w:val="0"/>
          <w:bCs w:val="0"/>
          <w:color w:val="auto"/>
          <w:kern w:val="2"/>
          <w:sz w:val="24"/>
          <w:szCs w:val="24"/>
          <w:lang w:val="en-US" w:eastAsia="zh-CN" w:bidi="ar-SA"/>
        </w:rPr>
        <w:t>0.05</w:t>
      </w:r>
      <w:r>
        <w:rPr>
          <w:rFonts w:hint="eastAsia" w:ascii="Times New Roman" w:hAnsi="Times New Roman" w:eastAsia="宋体" w:cs="Times New Roman"/>
          <w:b w:val="0"/>
          <w:bCs w:val="0"/>
          <w:color w:val="auto"/>
          <w:kern w:val="2"/>
          <w:sz w:val="24"/>
          <w:szCs w:val="24"/>
          <w:lang w:val="en-US" w:eastAsia="zh-CN" w:bidi="ar-SA"/>
        </w:rPr>
        <w:t>-0.1</w:t>
      </w:r>
      <w:r>
        <w:rPr>
          <w:rFonts w:hint="eastAsia" w:cs="Times New Roman"/>
          <w:b w:val="0"/>
          <w:bCs w:val="0"/>
          <w:color w:val="auto"/>
          <w:kern w:val="2"/>
          <w:sz w:val="24"/>
          <w:szCs w:val="24"/>
          <w:lang w:val="en-US" w:eastAsia="zh-CN" w:bidi="ar-SA"/>
        </w:rPr>
        <w:t>6</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汞为</w:t>
      </w:r>
      <w:r>
        <w:rPr>
          <w:rFonts w:hint="eastAsia" w:ascii="Times New Roman" w:hAnsi="Times New Roman" w:eastAsia="宋体" w:cs="Times New Roman"/>
          <w:b w:val="0"/>
          <w:bCs w:val="0"/>
          <w:color w:val="auto"/>
          <w:kern w:val="2"/>
          <w:sz w:val="24"/>
          <w:szCs w:val="24"/>
          <w:lang w:val="en-US" w:eastAsia="zh-CN" w:bidi="ar-SA"/>
        </w:rPr>
        <w:t>0.01-0.0</w:t>
      </w:r>
      <w:r>
        <w:rPr>
          <w:rFonts w:hint="eastAsia" w:cs="Times New Roman"/>
          <w:b w:val="0"/>
          <w:bCs w:val="0"/>
          <w:color w:val="auto"/>
          <w:kern w:val="2"/>
          <w:sz w:val="24"/>
          <w:szCs w:val="24"/>
          <w:lang w:val="en-US" w:eastAsia="zh-CN" w:bidi="ar-SA"/>
        </w:rPr>
        <w:t>7</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，砷为</w:t>
      </w:r>
      <w:r>
        <w:rPr>
          <w:rFonts w:hint="eastAsia" w:cs="Times New Roman"/>
          <w:b w:val="0"/>
          <w:bCs w:val="0"/>
          <w:color w:val="auto"/>
          <w:kern w:val="2"/>
          <w:sz w:val="24"/>
          <w:szCs w:val="24"/>
          <w:lang w:val="en-US" w:eastAsia="zh-CN" w:bidi="ar-SA"/>
        </w:rPr>
        <w:t>4.13</w:t>
      </w:r>
      <w:r>
        <w:rPr>
          <w:rFonts w:hint="eastAsia" w:ascii="Times New Roman" w:hAnsi="Times New Roman" w:eastAsia="宋体" w:cs="Times New Roman"/>
          <w:b w:val="0"/>
          <w:bCs w:val="0"/>
          <w:color w:val="auto"/>
          <w:kern w:val="2"/>
          <w:sz w:val="24"/>
          <w:szCs w:val="24"/>
          <w:lang w:val="en-US" w:eastAsia="zh-CN" w:bidi="ar-SA"/>
        </w:rPr>
        <w:t>-11.</w:t>
      </w:r>
      <w:r>
        <w:rPr>
          <w:rFonts w:hint="eastAsia" w:cs="Times New Roman"/>
          <w:b w:val="0"/>
          <w:bCs w:val="0"/>
          <w:color w:val="auto"/>
          <w:kern w:val="2"/>
          <w:sz w:val="24"/>
          <w:szCs w:val="24"/>
          <w:lang w:val="en-US" w:eastAsia="zh-CN" w:bidi="ar-SA"/>
        </w:rPr>
        <w:t>49</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，铜为</w:t>
      </w:r>
      <w:r>
        <w:rPr>
          <w:rFonts w:hint="eastAsia" w:ascii="Times New Roman" w:hAnsi="Times New Roman" w:eastAsia="宋体" w:cs="Times New Roman"/>
          <w:b w:val="0"/>
          <w:bCs w:val="0"/>
          <w:color w:val="auto"/>
          <w:kern w:val="2"/>
          <w:sz w:val="24"/>
          <w:szCs w:val="24"/>
          <w:lang w:val="en-US" w:eastAsia="zh-CN" w:bidi="ar-SA"/>
        </w:rPr>
        <w:t>11.</w:t>
      </w:r>
      <w:r>
        <w:rPr>
          <w:rFonts w:hint="eastAsia" w:cs="Times New Roman"/>
          <w:b w:val="0"/>
          <w:bCs w:val="0"/>
          <w:color w:val="auto"/>
          <w:kern w:val="2"/>
          <w:sz w:val="24"/>
          <w:szCs w:val="24"/>
          <w:lang w:val="en-US" w:eastAsia="zh-CN" w:bidi="ar-SA"/>
        </w:rPr>
        <w:t>18</w:t>
      </w:r>
      <w:r>
        <w:rPr>
          <w:rFonts w:hint="eastAsia"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23.59</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，铅为</w:t>
      </w:r>
      <w:r>
        <w:rPr>
          <w:rFonts w:hint="eastAsia" w:cs="Times New Roman"/>
          <w:b w:val="0"/>
          <w:bCs w:val="0"/>
          <w:color w:val="auto"/>
          <w:kern w:val="2"/>
          <w:sz w:val="24"/>
          <w:szCs w:val="24"/>
          <w:lang w:val="en-US" w:eastAsia="zh-CN" w:bidi="ar-SA"/>
        </w:rPr>
        <w:t>10.38</w:t>
      </w:r>
      <w:r>
        <w:rPr>
          <w:rFonts w:hint="eastAsia"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31.26</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，镍为</w:t>
      </w:r>
      <w:r>
        <w:rPr>
          <w:rFonts w:hint="eastAsia" w:cs="Times New Roman"/>
          <w:b w:val="0"/>
          <w:bCs w:val="0"/>
          <w:color w:val="auto"/>
          <w:kern w:val="2"/>
          <w:sz w:val="24"/>
          <w:szCs w:val="24"/>
          <w:lang w:val="en-US" w:eastAsia="zh-CN" w:bidi="ar-SA"/>
        </w:rPr>
        <w:t>9.21</w:t>
      </w:r>
      <w:r>
        <w:rPr>
          <w:rFonts w:hint="eastAsia" w:ascii="Times New Roman" w:hAnsi="Times New Roman" w:eastAsia="宋体" w:cs="Times New Roman"/>
          <w:b w:val="0"/>
          <w:bCs w:val="0"/>
          <w:color w:val="auto"/>
          <w:kern w:val="2"/>
          <w:sz w:val="24"/>
          <w:szCs w:val="24"/>
          <w:lang w:val="en-US" w:eastAsia="zh-CN" w:bidi="ar-SA"/>
        </w:rPr>
        <w:t>-2</w:t>
      </w:r>
      <w:r>
        <w:rPr>
          <w:rFonts w:hint="eastAsia" w:cs="Times New Roman"/>
          <w:b w:val="0"/>
          <w:bCs w:val="0"/>
          <w:color w:val="auto"/>
          <w:kern w:val="2"/>
          <w:sz w:val="24"/>
          <w:szCs w:val="24"/>
          <w:lang w:val="en-US" w:eastAsia="zh-CN" w:bidi="ar-SA"/>
        </w:rPr>
        <w:t>9.57</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，锌为</w:t>
      </w:r>
      <w:r>
        <w:rPr>
          <w:rFonts w:hint="eastAsia" w:cs="Times New Roman"/>
          <w:b w:val="0"/>
          <w:bCs w:val="0"/>
          <w:color w:val="auto"/>
          <w:kern w:val="2"/>
          <w:sz w:val="24"/>
          <w:szCs w:val="24"/>
          <w:lang w:val="en-US" w:eastAsia="zh-CN" w:bidi="ar-SA"/>
        </w:rPr>
        <w:t>26.73</w:t>
      </w:r>
      <w:r>
        <w:rPr>
          <w:rFonts w:hint="eastAsia"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103.05</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，总铬为</w:t>
      </w:r>
      <w:r>
        <w:rPr>
          <w:rFonts w:hint="eastAsia" w:cs="Times New Roman"/>
          <w:b w:val="0"/>
          <w:bCs w:val="0"/>
          <w:color w:val="auto"/>
          <w:kern w:val="2"/>
          <w:sz w:val="24"/>
          <w:szCs w:val="24"/>
          <w:lang w:val="en-US" w:eastAsia="zh-CN" w:bidi="ar-SA"/>
        </w:rPr>
        <w:t>28.14</w:t>
      </w:r>
      <w:r>
        <w:rPr>
          <w:rFonts w:hint="eastAsia"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74.44</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，地块外对照点现场</w:t>
      </w:r>
      <w:r>
        <w:rPr>
          <w:rFonts w:hint="eastAsia" w:ascii="Times New Roman" w:hAnsi="Times New Roman" w:eastAsia="宋体" w:cs="Times New Roman"/>
          <w:b w:val="0"/>
          <w:bCs w:val="0"/>
          <w:color w:val="auto"/>
          <w:kern w:val="2"/>
          <w:sz w:val="24"/>
          <w:szCs w:val="24"/>
          <w:lang w:val="en-US" w:eastAsia="zh-CN" w:bidi="ar-SA"/>
        </w:rPr>
        <w:t xml:space="preserve"> XRF </w:t>
      </w:r>
      <w:r>
        <w:rPr>
          <w:rFonts w:hint="eastAsia" w:ascii="宋体" w:hAnsi="宋体"/>
          <w:color w:val="auto"/>
          <w:sz w:val="24"/>
          <w:lang w:val="en-US" w:eastAsia="zh-CN"/>
        </w:rPr>
        <w:t>重金属快速检测结果显示砷为</w:t>
      </w:r>
      <w:r>
        <w:rPr>
          <w:rFonts w:hint="eastAsia" w:cs="Times New Roman"/>
          <w:b w:val="0"/>
          <w:bCs w:val="0"/>
          <w:color w:val="auto"/>
          <w:kern w:val="2"/>
          <w:sz w:val="24"/>
          <w:szCs w:val="24"/>
          <w:lang w:val="en-US" w:eastAsia="zh-CN" w:bidi="ar-SA"/>
        </w:rPr>
        <w:t>6.34</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，铜为</w:t>
      </w:r>
      <w:r>
        <w:rPr>
          <w:rFonts w:hint="eastAsia" w:cs="Times New Roman"/>
          <w:b w:val="0"/>
          <w:bCs w:val="0"/>
          <w:color w:val="auto"/>
          <w:kern w:val="2"/>
          <w:sz w:val="24"/>
          <w:szCs w:val="24"/>
          <w:lang w:val="en-US" w:eastAsia="zh-CN" w:bidi="ar-SA"/>
        </w:rPr>
        <w:t>14.87</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，铅为</w:t>
      </w:r>
      <w:r>
        <w:rPr>
          <w:rFonts w:hint="eastAsia" w:cs="Times New Roman"/>
          <w:b w:val="0"/>
          <w:bCs w:val="0"/>
          <w:color w:val="auto"/>
          <w:kern w:val="2"/>
          <w:sz w:val="24"/>
          <w:szCs w:val="24"/>
          <w:lang w:val="en-US" w:eastAsia="zh-CN" w:bidi="ar-SA"/>
        </w:rPr>
        <w:t>19.91</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，镍为</w:t>
      </w:r>
      <w:r>
        <w:rPr>
          <w:rFonts w:hint="eastAsia" w:cs="Times New Roman"/>
          <w:b w:val="0"/>
          <w:bCs w:val="0"/>
          <w:color w:val="auto"/>
          <w:kern w:val="2"/>
          <w:sz w:val="24"/>
          <w:szCs w:val="24"/>
          <w:lang w:val="en-US" w:eastAsia="zh-CN" w:bidi="ar-SA"/>
        </w:rPr>
        <w:t>26.41</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，锌为</w:t>
      </w:r>
      <w:r>
        <w:rPr>
          <w:rFonts w:hint="eastAsia" w:cs="Times New Roman"/>
          <w:b w:val="0"/>
          <w:bCs w:val="0"/>
          <w:color w:val="auto"/>
          <w:kern w:val="2"/>
          <w:sz w:val="24"/>
          <w:szCs w:val="24"/>
          <w:lang w:val="en-US" w:eastAsia="zh-CN" w:bidi="ar-SA"/>
        </w:rPr>
        <w:t>59.17</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，总铬为</w:t>
      </w:r>
      <w:r>
        <w:rPr>
          <w:rFonts w:hint="eastAsia" w:cs="Times New Roman"/>
          <w:b w:val="0"/>
          <w:bCs w:val="0"/>
          <w:color w:val="auto"/>
          <w:kern w:val="2"/>
          <w:sz w:val="24"/>
          <w:szCs w:val="24"/>
          <w:lang w:val="en-US" w:eastAsia="zh-CN" w:bidi="ar-SA"/>
        </w:rPr>
        <w:t>56.35</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，镉为</w:t>
      </w:r>
      <w:r>
        <w:rPr>
          <w:rFonts w:hint="eastAsia" w:cs="Times New Roman"/>
          <w:b w:val="0"/>
          <w:bCs w:val="0"/>
          <w:color w:val="auto"/>
          <w:kern w:val="2"/>
          <w:sz w:val="24"/>
          <w:szCs w:val="24"/>
          <w:lang w:val="en-US" w:eastAsia="zh-CN" w:bidi="ar-SA"/>
        </w:rPr>
        <w:t>0.15</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，汞为</w:t>
      </w:r>
      <w:r>
        <w:rPr>
          <w:rFonts w:hint="eastAsia" w:cs="Times New Roman"/>
          <w:b w:val="0"/>
          <w:bCs w:val="0"/>
          <w:color w:val="auto"/>
          <w:kern w:val="2"/>
          <w:sz w:val="24"/>
          <w:szCs w:val="24"/>
          <w:lang w:val="en-US" w:eastAsia="zh-CN" w:bidi="ar-SA"/>
        </w:rPr>
        <w:t>0.03</w:t>
      </w:r>
      <w:r>
        <w:rPr>
          <w:rFonts w:hint="eastAsia" w:ascii="Times New Roman" w:hAnsi="Times New Roman" w:eastAsia="宋体" w:cs="Times New Roman"/>
          <w:b w:val="0"/>
          <w:bCs w:val="0"/>
          <w:color w:val="auto"/>
          <w:kern w:val="2"/>
          <w:sz w:val="24"/>
          <w:szCs w:val="24"/>
          <w:lang w:val="en-US" w:eastAsia="zh-CN" w:bidi="ar-SA"/>
        </w:rPr>
        <w:t>ppm</w:t>
      </w:r>
      <w:r>
        <w:rPr>
          <w:rFonts w:hint="eastAsia" w:ascii="宋体" w:hAnsi="宋体"/>
          <w:color w:val="auto"/>
          <w:sz w:val="24"/>
          <w:lang w:val="en-US" w:eastAsia="zh-CN"/>
        </w:rPr>
        <w:t>。</w:t>
      </w:r>
    </w:p>
    <w:p w14:paraId="0E489C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lang w:val="en-US" w:eastAsia="zh-CN"/>
        </w:rPr>
      </w:pPr>
      <w:r>
        <w:rPr>
          <w:rFonts w:hint="eastAsia" w:ascii="宋体" w:hAnsi="宋体"/>
          <w:color w:val="auto"/>
          <w:sz w:val="24"/>
          <w:lang w:val="en-US" w:eastAsia="zh-CN"/>
        </w:rPr>
        <w:t>根据采样检测结果可知，本地块内监测因子总铬满足《建设用地土壤污染风险评估技术导则》（</w:t>
      </w:r>
      <w:r>
        <w:rPr>
          <w:rFonts w:hint="eastAsia" w:ascii="Times New Roman" w:hAnsi="Times New Roman" w:eastAsia="宋体" w:cs="Times New Roman"/>
          <w:b w:val="0"/>
          <w:bCs w:val="0"/>
          <w:color w:val="auto"/>
          <w:kern w:val="2"/>
          <w:sz w:val="24"/>
          <w:szCs w:val="24"/>
          <w:lang w:val="en-US" w:eastAsia="zh-CN" w:bidi="ar-SA"/>
        </w:rPr>
        <w:t>DB33/T892-2022</w:t>
      </w:r>
      <w:r>
        <w:rPr>
          <w:rFonts w:hint="eastAsia" w:ascii="宋体" w:hAnsi="宋体"/>
          <w:color w:val="auto"/>
          <w:sz w:val="24"/>
          <w:lang w:val="en-US" w:eastAsia="zh-CN"/>
        </w:rPr>
        <w:t>）中表</w:t>
      </w:r>
      <w:r>
        <w:rPr>
          <w:rFonts w:hint="eastAsia" w:ascii="Times New Roman" w:hAnsi="Times New Roman" w:eastAsia="宋体" w:cs="Times New Roman"/>
          <w:b w:val="0"/>
          <w:bCs w:val="0"/>
          <w:color w:val="auto"/>
          <w:kern w:val="2"/>
          <w:sz w:val="24"/>
          <w:szCs w:val="24"/>
          <w:lang w:val="en-US" w:eastAsia="zh-CN" w:bidi="ar-SA"/>
        </w:rPr>
        <w:t xml:space="preserve">A.2 </w:t>
      </w:r>
      <w:r>
        <w:rPr>
          <w:rFonts w:hint="eastAsia" w:ascii="宋体" w:hAnsi="宋体"/>
          <w:color w:val="auto"/>
          <w:sz w:val="24"/>
          <w:lang w:val="en-US" w:eastAsia="zh-CN"/>
        </w:rPr>
        <w:t>建设用地土壤污染物风险评估筛选值其他项目中的敏感用地筛选值，其余监测因子满足《土壤环境质量建设用地土壤污染风险管控标准（试行）》（</w:t>
      </w:r>
      <w:r>
        <w:rPr>
          <w:rFonts w:hint="eastAsia" w:ascii="Times New Roman" w:hAnsi="Times New Roman" w:eastAsia="宋体" w:cs="Times New Roman"/>
          <w:b w:val="0"/>
          <w:bCs w:val="0"/>
          <w:color w:val="auto"/>
          <w:kern w:val="2"/>
          <w:sz w:val="24"/>
          <w:szCs w:val="24"/>
          <w:lang w:val="en-US" w:eastAsia="zh-CN" w:bidi="ar-SA"/>
        </w:rPr>
        <w:t>GB36600-2018</w:t>
      </w:r>
      <w:r>
        <w:rPr>
          <w:rFonts w:hint="eastAsia" w:ascii="宋体" w:hAnsi="宋体"/>
          <w:color w:val="auto"/>
          <w:sz w:val="24"/>
          <w:lang w:val="en-US" w:eastAsia="zh-CN"/>
        </w:rPr>
        <w:t>）中第一类用地质量标准筛选值。此外，对照点检测结果与本地块内检测点对比基本情况相似，由此判断该地块受重金属、有机物的污染可能性较低。</w:t>
      </w:r>
    </w:p>
    <w:p w14:paraId="0FC359BB">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rPr>
        <w:t>（</w:t>
      </w: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调查结论</w:t>
      </w:r>
    </w:p>
    <w:p w14:paraId="6A42AD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rPr>
      </w:pPr>
      <w:r>
        <w:rPr>
          <w:rFonts w:hint="eastAsia" w:ascii="宋体" w:hAnsi="宋体"/>
          <w:color w:val="auto"/>
          <w:sz w:val="24"/>
          <w:lang w:eastAsia="zh-CN"/>
        </w:rPr>
        <w:t>根据</w:t>
      </w:r>
      <w:r>
        <w:rPr>
          <w:rFonts w:hint="eastAsia" w:ascii="宋体" w:hAnsi="宋体" w:eastAsia="宋体"/>
          <w:color w:val="auto"/>
          <w:sz w:val="24"/>
        </w:rPr>
        <w:t>《建设用地土壤污染状况调查技术导则》（</w:t>
      </w:r>
      <w:r>
        <w:rPr>
          <w:rFonts w:hint="eastAsia" w:ascii="Times New Roman" w:hAnsi="Times New Roman" w:eastAsia="宋体" w:cs="Times New Roman"/>
          <w:b w:val="0"/>
          <w:bCs w:val="0"/>
          <w:color w:val="auto"/>
          <w:kern w:val="2"/>
          <w:sz w:val="24"/>
          <w:szCs w:val="24"/>
          <w:lang w:val="en-US" w:eastAsia="zh-CN" w:bidi="ar-SA"/>
        </w:rPr>
        <w:t>HJ25.1-2019</w:t>
      </w:r>
      <w:r>
        <w:rPr>
          <w:rFonts w:hint="eastAsia" w:ascii="宋体" w:hAnsi="宋体" w:eastAsia="宋体"/>
          <w:color w:val="auto"/>
          <w:sz w:val="24"/>
        </w:rPr>
        <w:t>）</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highlight w:val="none"/>
          <w:lang w:val="en-US" w:eastAsia="zh-CN"/>
        </w:rPr>
        <w:t>《浙江省建设用地土壤污染风险管控和修复监督管理办法</w:t>
      </w:r>
      <w:r>
        <w:rPr>
          <w:rFonts w:hint="eastAsia" w:cs="Times New Roman"/>
          <w:color w:val="auto"/>
          <w:sz w:val="24"/>
          <w:szCs w:val="24"/>
          <w:highlight w:val="none"/>
          <w:lang w:val="en-US" w:eastAsia="zh-CN"/>
        </w:rPr>
        <w:t>（修订）</w:t>
      </w:r>
      <w:r>
        <w:rPr>
          <w:rFonts w:hint="eastAsia" w:ascii="Times New Roman" w:hAnsi="Times New Roman" w:cs="Times New Roman"/>
          <w:color w:val="auto"/>
          <w:sz w:val="24"/>
          <w:szCs w:val="24"/>
          <w:highlight w:val="none"/>
          <w:lang w:val="en-US" w:eastAsia="zh-CN"/>
        </w:rPr>
        <w:t>》（浙环发〔202</w:t>
      </w:r>
      <w:r>
        <w:rPr>
          <w:rFonts w:hint="eastAsia"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47</w:t>
      </w:r>
      <w:r>
        <w:rPr>
          <w:rFonts w:hint="eastAsia" w:ascii="Times New Roman" w:hAnsi="Times New Roman" w:cs="Times New Roman"/>
          <w:color w:val="auto"/>
          <w:sz w:val="24"/>
          <w:szCs w:val="24"/>
          <w:highlight w:val="none"/>
          <w:lang w:val="en-US" w:eastAsia="zh-CN"/>
        </w:rPr>
        <w:t>号）</w:t>
      </w:r>
      <w:r>
        <w:rPr>
          <w:rFonts w:hint="eastAsia" w:ascii="宋体" w:hAnsi="宋体" w:eastAsia="宋体"/>
          <w:color w:val="auto"/>
          <w:sz w:val="24"/>
        </w:rPr>
        <w:t>及《土壤司关于部长信箱来信</w:t>
      </w:r>
      <w:r>
        <w:rPr>
          <w:rFonts w:hint="eastAsia" w:ascii="TimesNewRomanPSMT" w:hAnsi="TimesNewRomanPSMT" w:eastAsia="TimesNewRomanPSMT"/>
          <w:color w:val="auto"/>
          <w:sz w:val="24"/>
        </w:rPr>
        <w:t>“</w:t>
      </w:r>
      <w:r>
        <w:rPr>
          <w:rFonts w:hint="eastAsia" w:ascii="宋体" w:hAnsi="宋体" w:eastAsia="宋体"/>
          <w:color w:val="auto"/>
          <w:sz w:val="24"/>
        </w:rPr>
        <w:t>农用地变更用途是否需要做土壤污染检测</w:t>
      </w:r>
      <w:r>
        <w:rPr>
          <w:rFonts w:hint="eastAsia" w:ascii="TimesNewRomanPSMT" w:hAnsi="TimesNewRomanPSMT" w:eastAsia="TimesNewRomanPSMT"/>
          <w:color w:val="auto"/>
          <w:sz w:val="24"/>
        </w:rPr>
        <w:t>”</w:t>
      </w:r>
      <w:r>
        <w:rPr>
          <w:rFonts w:hint="eastAsia" w:ascii="宋体" w:hAnsi="宋体" w:eastAsia="宋体"/>
          <w:color w:val="auto"/>
          <w:sz w:val="24"/>
        </w:rPr>
        <w:t>等三个办理单的答复》，</w:t>
      </w:r>
      <w:r>
        <w:rPr>
          <w:rFonts w:hint="eastAsia" w:ascii="宋体" w:hAnsi="宋体"/>
          <w:color w:val="auto"/>
          <w:sz w:val="24"/>
          <w:lang w:eastAsia="zh-CN"/>
        </w:rPr>
        <w:t>“</w:t>
      </w:r>
      <w:r>
        <w:rPr>
          <w:rFonts w:hint="eastAsia" w:ascii="宋体" w:hAnsi="宋体" w:eastAsia="宋体"/>
          <w:color w:val="auto"/>
          <w:sz w:val="24"/>
        </w:rPr>
        <w:t>第一阶段土壤污染状况调查是以资料收集、现场踏勘和人员访谈为主的污染识别阶段，原则上不进行现场采样分析。若第一阶段调查确认地块内及周围区域当前和历史上均无可能的污染源，则认为地块的环境状况可以接受，调查活动可以结束</w:t>
      </w:r>
      <w:r>
        <w:rPr>
          <w:rFonts w:hint="eastAsia" w:ascii="TimesNewRomanPSMT" w:hAnsi="TimesNewRomanPSMT" w:eastAsia="宋体"/>
          <w:color w:val="auto"/>
          <w:sz w:val="24"/>
          <w:lang w:eastAsia="zh-CN"/>
        </w:rPr>
        <w:t>”</w:t>
      </w:r>
      <w:r>
        <w:rPr>
          <w:rFonts w:hint="eastAsia" w:ascii="宋体" w:hAnsi="宋体" w:eastAsia="宋体"/>
          <w:color w:val="auto"/>
          <w:sz w:val="24"/>
        </w:rPr>
        <w:t>。</w:t>
      </w:r>
    </w:p>
    <w:p w14:paraId="29C238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rPr>
        <w:t>经过</w:t>
      </w:r>
      <w:r>
        <w:rPr>
          <w:rFonts w:hint="eastAsia" w:ascii="Times New Roman" w:hAnsi="Times New Roman" w:eastAsia="宋体" w:cs="Times New Roman"/>
          <w:color w:val="auto"/>
          <w:sz w:val="24"/>
          <w:szCs w:val="24"/>
          <w:lang w:val="en-US" w:eastAsia="zh-CN"/>
        </w:rPr>
        <w:t>现场踏勘、人员访谈、历史资料查阅以及土壤快筛</w:t>
      </w:r>
      <w:r>
        <w:rPr>
          <w:rFonts w:hint="eastAsia" w:cs="Times New Roman"/>
          <w:color w:val="auto"/>
          <w:sz w:val="24"/>
          <w:szCs w:val="24"/>
          <w:lang w:val="en-US" w:eastAsia="zh-CN"/>
        </w:rPr>
        <w:t>等</w:t>
      </w:r>
      <w:r>
        <w:rPr>
          <w:rFonts w:hint="default" w:ascii="Times New Roman" w:hAnsi="Times New Roman" w:eastAsia="宋体" w:cs="Times New Roman"/>
          <w:color w:val="auto"/>
          <w:sz w:val="24"/>
          <w:szCs w:val="24"/>
        </w:rPr>
        <w:t>土壤污染状况调查</w:t>
      </w:r>
      <w:r>
        <w:rPr>
          <w:rFonts w:hint="eastAsia" w:cs="Times New Roman"/>
          <w:color w:val="auto"/>
          <w:sz w:val="24"/>
          <w:szCs w:val="24"/>
          <w:lang w:val="en-US" w:eastAsia="zh-CN"/>
        </w:rPr>
        <w:t>工作</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调查以及检测结果显示</w:t>
      </w:r>
      <w:r>
        <w:rPr>
          <w:rFonts w:hint="eastAsia" w:cs="Times New Roman"/>
          <w:color w:val="auto"/>
          <w:sz w:val="24"/>
          <w:szCs w:val="24"/>
          <w:lang w:val="en-US" w:eastAsia="zh-CN"/>
        </w:rPr>
        <w:t>商城大道南侧地块A地块</w:t>
      </w:r>
      <w:r>
        <w:rPr>
          <w:rFonts w:hint="default" w:ascii="Times New Roman" w:hAnsi="Times New Roman" w:eastAsia="宋体" w:cs="Times New Roman"/>
          <w:color w:val="auto"/>
          <w:sz w:val="24"/>
          <w:szCs w:val="24"/>
          <w:lang w:eastAsia="zh-CN"/>
        </w:rPr>
        <w:t>及周围区域现状和历史上均无可能的污染源，</w:t>
      </w:r>
      <w:r>
        <w:rPr>
          <w:rFonts w:hint="eastAsia" w:ascii="Times New Roman" w:hAnsi="Times New Roman" w:eastAsia="宋体" w:cs="Times New Roman"/>
          <w:color w:val="auto"/>
          <w:sz w:val="24"/>
          <w:szCs w:val="24"/>
          <w:lang w:val="en-US" w:eastAsia="zh-CN"/>
        </w:rPr>
        <w:t>不属于污染性地块</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eastAsia="zh-CN"/>
        </w:rPr>
        <w:t>环境状况可以接受，</w:t>
      </w:r>
      <w:r>
        <w:rPr>
          <w:rFonts w:hint="eastAsia" w:cs="Times New Roman"/>
          <w:color w:val="auto"/>
          <w:sz w:val="24"/>
          <w:szCs w:val="24"/>
          <w:lang w:eastAsia="zh-CN"/>
        </w:rPr>
        <w:t>无需进入第二阶段调查，</w:t>
      </w:r>
      <w:r>
        <w:rPr>
          <w:rFonts w:hint="default" w:ascii="Times New Roman" w:hAnsi="Times New Roman" w:eastAsia="宋体" w:cs="Times New Roman"/>
          <w:color w:val="auto"/>
          <w:sz w:val="24"/>
          <w:szCs w:val="24"/>
          <w:highlight w:val="none"/>
          <w:lang w:eastAsia="zh-CN"/>
        </w:rPr>
        <w:t>可以作为</w:t>
      </w:r>
      <w:r>
        <w:rPr>
          <w:rFonts w:hint="default" w:ascii="Times New Roman" w:hAnsi="Times New Roman" w:cs="Times New Roman"/>
          <w:color w:val="000000"/>
          <w:sz w:val="24"/>
          <w:szCs w:val="32"/>
          <w:highlight w:val="none"/>
          <w:lang w:val="en-US" w:eastAsia="zh-CN"/>
        </w:rPr>
        <w:t>商业</w:t>
      </w:r>
      <w:r>
        <w:rPr>
          <w:rFonts w:hint="eastAsia" w:cs="Times New Roman"/>
          <w:color w:val="000000"/>
          <w:sz w:val="24"/>
          <w:szCs w:val="32"/>
          <w:highlight w:val="none"/>
          <w:lang w:val="en-US" w:eastAsia="zh-CN"/>
        </w:rPr>
        <w:t>服务业</w:t>
      </w:r>
      <w:r>
        <w:rPr>
          <w:rFonts w:hint="default" w:ascii="Times New Roman" w:hAnsi="Times New Roman" w:cs="Times New Roman"/>
          <w:color w:val="000000"/>
          <w:sz w:val="24"/>
          <w:szCs w:val="32"/>
          <w:highlight w:val="none"/>
          <w:lang w:val="en-US" w:eastAsia="zh-CN"/>
        </w:rPr>
        <w:t>用地（09）</w:t>
      </w:r>
      <w:r>
        <w:rPr>
          <w:rFonts w:hint="eastAsia" w:cs="Times New Roman"/>
          <w:color w:val="000000"/>
          <w:sz w:val="24"/>
          <w:szCs w:val="32"/>
          <w:highlight w:val="none"/>
          <w:lang w:val="en-US" w:eastAsia="zh-CN"/>
        </w:rPr>
        <w:t>和居住用地（07）开发利用</w:t>
      </w:r>
      <w:r>
        <w:rPr>
          <w:rFonts w:hint="eastAsia" w:cs="Times New Roman"/>
          <w:color w:val="auto"/>
          <w:sz w:val="24"/>
          <w:szCs w:val="24"/>
          <w:highlight w:val="none"/>
          <w:lang w:eastAsia="zh-CN"/>
        </w:rPr>
        <w:t>。</w:t>
      </w:r>
    </w:p>
    <w:p w14:paraId="327FE8A1">
      <w:pPr>
        <w:pStyle w:val="4"/>
        <w:spacing w:line="360" w:lineRule="auto"/>
        <w:rPr>
          <w:rFonts w:ascii="Times New Roman" w:hAnsi="Times New Roman" w:eastAsia="宋体"/>
          <w:color w:val="000000" w:themeColor="text1"/>
          <w:kern w:val="0"/>
          <w:lang w:bidi="ar"/>
          <w14:textFill>
            <w14:solidFill>
              <w14:schemeClr w14:val="tx1"/>
            </w14:solidFill>
          </w14:textFill>
        </w:rPr>
      </w:pPr>
    </w:p>
    <w:p w14:paraId="71720003">
      <w:pPr>
        <w:pStyle w:val="6"/>
        <w:rPr>
          <w:rFonts w:hint="eastAsia"/>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6723">
    <w:pPr>
      <w:pStyle w:val="8"/>
      <w:spacing w:after="120"/>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0ECD4AB3"/>
    <w:rsid w:val="15CE2F15"/>
    <w:rsid w:val="197F1FC5"/>
    <w:rsid w:val="24456C89"/>
    <w:rsid w:val="28570B44"/>
    <w:rsid w:val="312C0326"/>
    <w:rsid w:val="35425470"/>
    <w:rsid w:val="3AD71E26"/>
    <w:rsid w:val="45785768"/>
    <w:rsid w:val="483B48D8"/>
    <w:rsid w:val="49A26000"/>
    <w:rsid w:val="4B743D55"/>
    <w:rsid w:val="535518B1"/>
    <w:rsid w:val="5DE326BE"/>
    <w:rsid w:val="6F2955BA"/>
    <w:rsid w:val="746E1D3A"/>
    <w:rsid w:val="7CC4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4">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Body Text"/>
    <w:basedOn w:val="1"/>
    <w:qFormat/>
    <w:uiPriority w:val="1"/>
    <w:rPr>
      <w:rFonts w:ascii="宋体" w:hAnsi="宋体" w:eastAsia="宋体" w:cs="宋体"/>
      <w:sz w:val="24"/>
      <w:szCs w:val="24"/>
      <w:lang w:val="en-US" w:eastAsia="zh-CN" w:bidi="ar-SA"/>
    </w:rPr>
  </w:style>
  <w:style w:type="paragraph" w:styleId="6">
    <w:name w:val="Plain Text"/>
    <w:basedOn w:val="1"/>
    <w:next w:val="7"/>
    <w:qFormat/>
    <w:uiPriority w:val="99"/>
    <w:rPr>
      <w:rFonts w:ascii="宋体" w:hAnsi="Courier New"/>
      <w:kern w:val="0"/>
      <w:sz w:val="20"/>
      <w:szCs w:val="20"/>
    </w:rPr>
  </w:style>
  <w:style w:type="paragraph" w:styleId="7">
    <w:name w:val="toc 1"/>
    <w:basedOn w:val="1"/>
    <w:next w:val="1"/>
    <w:semiHidden/>
    <w:qFormat/>
    <w:uiPriority w:val="0"/>
  </w:style>
  <w:style w:type="paragraph" w:styleId="8">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12">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 w:type="character" w:customStyle="1" w:styleId="13">
    <w:name w:val="+正文 Char"/>
    <w:link w:val="14"/>
    <w:qFormat/>
    <w:locked/>
    <w:uiPriority w:val="0"/>
    <w:rPr>
      <w:rFonts w:asciiTheme="minorHAnsi" w:hAnsiTheme="minorHAnsi" w:eastAsiaTheme="minorEastAsia"/>
      <w:kern w:val="0"/>
      <w:szCs w:val="28"/>
    </w:rPr>
  </w:style>
  <w:style w:type="paragraph" w:customStyle="1" w:styleId="14">
    <w:name w:val="+正文"/>
    <w:basedOn w:val="1"/>
    <w:link w:val="13"/>
    <w:qFormat/>
    <w:uiPriority w:val="0"/>
    <w:pPr>
      <w:widowControl/>
    </w:pPr>
    <w:rPr>
      <w:rFonts w:asciiTheme="minorHAnsi" w:hAnsiTheme="minorHAnsi" w:eastAsiaTheme="minorEastAsia"/>
      <w:kern w:val="0"/>
      <w:szCs w:val="28"/>
    </w:rPr>
  </w:style>
  <w:style w:type="paragraph" w:styleId="15">
    <w:name w:val="List Paragraph"/>
    <w:basedOn w:val="1"/>
    <w:qFormat/>
    <w:uiPriority w:val="34"/>
    <w:pPr>
      <w:spacing w:line="360" w:lineRule="auto"/>
      <w:ind w:firstLine="420" w:firstLineChars="200"/>
      <w:jc w:val="left"/>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1903</Words>
  <Characters>2160</Characters>
  <Lines>0</Lines>
  <Paragraphs>0</Paragraphs>
  <TotalTime>0</TotalTime>
  <ScaleCrop>false</ScaleCrop>
  <LinksUpToDate>false</LinksUpToDate>
  <CharactersWithSpaces>2167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2025-06-26T05:17:26Z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44DD9D9B259942D19A2C39F89C959A2E_12</vt:lpwstr>
  </property>
  <property fmtid="{D5CDD505-2E9C-101B-9397-08002B2CF9AE}" pid="4" name="KSOTemplateDocerSaveRecord">
    <vt:lpwstr>eyJoZGlkIjoiYmY2NjEyMDgzNWNhNzdiOTJkY2MzOWFlOTYxNWI0NTgiLCJ1c2VySWQiOiI2MDEzMzI4NzYifQ==</vt:lpwstr>
  </property>
</Properties>
</file>