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EE7F0">
      <w:pPr>
        <w:spacing w:line="440" w:lineRule="exact"/>
        <w:jc w:val="center"/>
        <w:rPr>
          <w:rFonts w:hint="eastAsia"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eastAsia="zh-CN"/>
        </w:rPr>
        <w:t>关于</w:t>
      </w:r>
      <w:r>
        <w:rPr>
          <w:rFonts w:hint="eastAsia" w:ascii="Times New Roman" w:hAnsi="Times New Roman" w:eastAsia="宋体" w:cs="Times New Roman"/>
          <w:sz w:val="30"/>
          <w:szCs w:val="30"/>
          <w:lang w:val="en-US" w:eastAsia="zh-CN"/>
        </w:rPr>
        <w:t>福田街道十里牌村拟出让地块第一阶段土壤</w:t>
      </w:r>
    </w:p>
    <w:p w14:paraId="6330488D">
      <w:pPr>
        <w:spacing w:line="440" w:lineRule="exact"/>
        <w:jc w:val="center"/>
        <w:rPr>
          <w:rFonts w:hint="eastAsia"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val="en-US" w:eastAsia="zh-CN"/>
        </w:rPr>
        <w:t>污染状况调查报告的公示</w:t>
      </w:r>
    </w:p>
    <w:p w14:paraId="70EE49D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bookmarkStart w:id="0" w:name="_GoBack"/>
      <w:bookmarkEnd w:id="0"/>
      <w:r>
        <w:rPr>
          <w:rFonts w:hint="eastAsia" w:cs="Times New Roman"/>
          <w:color w:val="000000" w:themeColor="text1"/>
          <w:sz w:val="24"/>
          <w:szCs w:val="24"/>
          <w:lang w:val="en-US" w:eastAsia="zh-CN"/>
          <w14:textFill>
            <w14:solidFill>
              <w14:schemeClr w14:val="tx1"/>
            </w14:solidFill>
          </w14:textFill>
        </w:rPr>
        <w:t>福田街道十里牌村拟出让地块</w:t>
      </w:r>
      <w:r>
        <w:rPr>
          <w:rFonts w:hint="default" w:ascii="Times New Roman" w:hAnsi="Times New Roman" w:eastAsia="宋体" w:cs="Times New Roman"/>
          <w:color w:val="000000" w:themeColor="text1"/>
          <w:sz w:val="24"/>
          <w:szCs w:val="24"/>
          <w14:textFill>
            <w14:solidFill>
              <w14:schemeClr w14:val="tx1"/>
            </w14:solidFill>
          </w14:textFill>
        </w:rPr>
        <w:t>位于</w:t>
      </w:r>
      <w:r>
        <w:rPr>
          <w:rFonts w:hint="eastAsia" w:cs="Times New Roman"/>
          <w:color w:val="000000" w:themeColor="text1"/>
          <w:sz w:val="24"/>
          <w:szCs w:val="24"/>
          <w:lang w:val="en-US" w:eastAsia="zh-CN"/>
          <w14:textFill>
            <w14:solidFill>
              <w14:schemeClr w14:val="tx1"/>
            </w14:solidFill>
          </w14:textFill>
        </w:rPr>
        <w:t>义乌市福田街道银海三区</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东至</w:t>
      </w:r>
      <w:r>
        <w:rPr>
          <w:rFonts w:hint="eastAsia" w:cs="Times New Roman"/>
          <w:color w:val="000000" w:themeColor="text1"/>
          <w:sz w:val="24"/>
          <w:szCs w:val="24"/>
          <w:highlight w:val="none"/>
          <w:lang w:val="en-US" w:eastAsia="zh-CN"/>
          <w14:textFill>
            <w14:solidFill>
              <w14:schemeClr w14:val="tx1"/>
            </w14:solidFill>
          </w14:textFill>
        </w:rPr>
        <w:t>银海三区居民住宅</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南至</w:t>
      </w:r>
      <w:r>
        <w:rPr>
          <w:rFonts w:hint="eastAsia" w:cs="Times New Roman"/>
          <w:color w:val="000000" w:themeColor="text1"/>
          <w:sz w:val="24"/>
          <w:szCs w:val="24"/>
          <w:highlight w:val="none"/>
          <w:lang w:val="en-US" w:eastAsia="zh-CN"/>
          <w14:textFill>
            <w14:solidFill>
              <w14:schemeClr w14:val="tx1"/>
            </w14:solidFill>
          </w14:textFill>
        </w:rPr>
        <w:t>银海三区居民住宅</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，西至</w:t>
      </w:r>
      <w:r>
        <w:rPr>
          <w:rFonts w:hint="eastAsia" w:cs="Times New Roman"/>
          <w:color w:val="000000" w:themeColor="text1"/>
          <w:sz w:val="24"/>
          <w:szCs w:val="24"/>
          <w:highlight w:val="none"/>
          <w:lang w:val="en-US" w:eastAsia="zh-CN"/>
          <w14:textFill>
            <w14:solidFill>
              <w14:schemeClr w14:val="tx1"/>
            </w14:solidFill>
          </w14:textFill>
        </w:rPr>
        <w:t>空地</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，北至</w:t>
      </w:r>
      <w:r>
        <w:rPr>
          <w:rFonts w:hint="eastAsia" w:cs="Times New Roman"/>
          <w:color w:val="000000" w:themeColor="text1"/>
          <w:sz w:val="24"/>
          <w:szCs w:val="24"/>
          <w:highlight w:val="none"/>
          <w:lang w:val="en-US" w:eastAsia="zh-CN"/>
          <w14:textFill>
            <w14:solidFill>
              <w14:schemeClr w14:val="tx1"/>
            </w14:solidFill>
          </w14:textFill>
        </w:rPr>
        <w:t>绿化</w:t>
      </w:r>
      <w:r>
        <w:rPr>
          <w:rFonts w:hint="default" w:ascii="Times New Roman" w:hAnsi="Times New Roman" w:eastAsia="宋体" w:cs="Times New Roman"/>
          <w:color w:val="000000" w:themeColor="text1"/>
          <w:sz w:val="24"/>
          <w:szCs w:val="24"/>
          <w:highlight w:val="none"/>
          <w14:textFill>
            <w14:solidFill>
              <w14:schemeClr w14:val="tx1"/>
            </w14:solidFill>
          </w14:textFill>
        </w:rPr>
        <w:t>，总调查面积为</w:t>
      </w:r>
      <w:r>
        <w:rPr>
          <w:rFonts w:hint="eastAsia" w:cs="Times New Roman"/>
          <w:color w:val="000000" w:themeColor="text1"/>
          <w:sz w:val="24"/>
          <w:szCs w:val="24"/>
          <w:highlight w:val="none"/>
          <w:lang w:val="en-US" w:eastAsia="zh-CN"/>
          <w14:textFill>
            <w14:solidFill>
              <w14:schemeClr w14:val="tx1"/>
            </w14:solidFill>
          </w14:textFill>
        </w:rPr>
        <w:t>288.03</w:t>
      </w:r>
      <w:r>
        <w:rPr>
          <w:rFonts w:hint="default" w:ascii="Times New Roman" w:hAnsi="Times New Roman" w:eastAsia="宋体" w:cs="Times New Roman"/>
          <w:color w:val="000000" w:themeColor="text1"/>
          <w:sz w:val="24"/>
          <w:szCs w:val="24"/>
          <w:highlight w:val="none"/>
          <w14:textFill>
            <w14:solidFill>
              <w14:schemeClr w14:val="tx1"/>
            </w14:solidFill>
          </w14:textFill>
        </w:rPr>
        <w:t>平方米，中心桩号为东经120.09810</w:t>
      </w:r>
      <w:r>
        <w:rPr>
          <w:rFonts w:hint="eastAsia"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highlight w:val="none"/>
          <w14:textFill>
            <w14:solidFill>
              <w14:schemeClr w14:val="tx1"/>
            </w14:solidFill>
          </w14:textFill>
        </w:rPr>
        <w:t>°，北纬29.34725</w:t>
      </w:r>
      <w:r>
        <w:rPr>
          <w:rFonts w:hint="eastAsia"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14:paraId="64B3752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本地块原为农用地，</w:t>
      </w:r>
      <w:r>
        <w:rPr>
          <w:rFonts w:hint="eastAsia" w:cs="Times New Roman"/>
          <w:color w:val="000000" w:themeColor="text1"/>
          <w:kern w:val="2"/>
          <w:sz w:val="24"/>
          <w:szCs w:val="24"/>
          <w:lang w:val="en-US" w:eastAsia="zh-CN" w:bidi="ar-SA"/>
          <w14:textFill>
            <w14:solidFill>
              <w14:schemeClr w14:val="tx1"/>
            </w14:solidFill>
          </w14:textFill>
        </w:rPr>
        <w:t>现状为临时停车场，</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根据《</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义乌市中心城区国际商贸城0579–YW–YZ–SMC–02单元控制性详细规划</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》，该地块规划用途为</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R21</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居住用地，为《国土空间调查、规划、用途管制用地用海分类指南》（2023年11月）中的中的居住用地（0701城镇住宅用地），属敏感用地。</w:t>
      </w:r>
    </w:p>
    <w:p w14:paraId="1E47D7D7">
      <w:pPr>
        <w:pStyle w:val="2"/>
        <w:keepNext w:val="0"/>
        <w:keepLines w:val="0"/>
        <w:pageBreakBefore w:val="0"/>
        <w:widowControl w:val="0"/>
        <w:kinsoku/>
        <w:wordWrap/>
        <w:overflowPunct/>
        <w:topLinePunct w:val="0"/>
        <w:autoSpaceDE/>
        <w:autoSpaceDN/>
        <w:bidi w:val="0"/>
        <w:adjustRightInd/>
        <w:snapToGrid/>
        <w:ind w:left="0" w:leftChars="0" w:right="0" w:rightChars="0" w:firstLine="480" w:firstLineChars="20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cs="Times New Roman"/>
          <w:color w:val="000000" w:themeColor="text1"/>
          <w:lang w:eastAsia="zh-CN"/>
          <w14:textFill>
            <w14:solidFill>
              <w14:schemeClr w14:val="tx1"/>
            </w14:solidFill>
          </w14:textFill>
        </w:rPr>
        <w:t>根据《中华人民共和国土壤污染防治法》（2019年1月1日起实施）第五十九条，用途变更为住宅、公共管理与公共服务用地的地块，变更前应当按照规定进行土壤污染状况调查。</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《浙江省建设用地土壤污染风险管控和修复监督管理办法（修订）》（浙环发〔2024〕47号）</w:t>
      </w:r>
      <w:r>
        <w:rPr>
          <w:rFonts w:hint="default" w:ascii="Times New Roman" w:hAnsi="Times New Roman" w:cs="Times New Roman"/>
          <w:color w:val="000000" w:themeColor="text1"/>
          <w:lang w:eastAsia="zh-CN"/>
          <w14:textFill>
            <w14:solidFill>
              <w14:schemeClr w14:val="tx1"/>
            </w14:solidFill>
          </w14:textFill>
        </w:rPr>
        <w:t>第七条规定，</w:t>
      </w:r>
      <w:r>
        <w:rPr>
          <w:rFonts w:hint="default" w:ascii="Times New Roman" w:hAnsi="Times New Roman" w:cs="Times New Roman"/>
          <w:color w:val="000000" w:themeColor="text1"/>
          <w:lang w:val="en-US" w:eastAsia="zh-CN"/>
          <w14:textFill>
            <w14:solidFill>
              <w14:schemeClr w14:val="tx1"/>
            </w14:solidFill>
          </w14:textFill>
        </w:rPr>
        <w:t>本地块属于用途变更地块</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原用地性质为农用地，现</w:t>
      </w:r>
      <w:r>
        <w:rPr>
          <w:rFonts w:hint="default" w:ascii="Times New Roman" w:hAnsi="Times New Roman" w:cs="Times New Roman"/>
          <w:color w:val="000000" w:themeColor="text1"/>
          <w:lang w:eastAsia="zh-CN"/>
          <w14:textFill>
            <w14:solidFill>
              <w14:schemeClr w14:val="tx1"/>
            </w14:solidFill>
          </w14:textFill>
        </w:rPr>
        <w:t>地块规划用途为</w:t>
      </w:r>
      <w:r>
        <w:rPr>
          <w:rFonts w:hint="default" w:ascii="Times New Roman" w:hAnsi="Times New Roman" w:cs="Times New Roman"/>
          <w:color w:val="000000" w:themeColor="text1"/>
          <w:lang w:val="en-US" w:eastAsia="zh-CN"/>
          <w14:textFill>
            <w14:solidFill>
              <w14:schemeClr w14:val="tx1"/>
            </w14:solidFill>
          </w14:textFill>
        </w:rPr>
        <w:t>居住用地</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属敏感用地，为甲类地块，</w:t>
      </w:r>
      <w:r>
        <w:rPr>
          <w:rFonts w:hint="default" w:ascii="Times New Roman" w:hAnsi="Times New Roman" w:cs="Times New Roman"/>
          <w:color w:val="000000" w:themeColor="text1"/>
          <w:lang w:eastAsia="zh-CN"/>
          <w14:textFill>
            <w14:solidFill>
              <w14:schemeClr w14:val="tx1"/>
            </w14:solidFill>
          </w14:textFill>
        </w:rPr>
        <w:t>责任人应按规定进行土壤污染状况调查，</w:t>
      </w:r>
      <w:r>
        <w:rPr>
          <w:rFonts w:hint="default" w:ascii="Times New Roman" w:hAnsi="Times New Roman" w:cs="Times New Roman"/>
          <w:color w:val="000000" w:themeColor="text1"/>
          <w:lang w:val="en-US" w:eastAsia="zh-CN"/>
          <w14:textFill>
            <w14:solidFill>
              <w14:schemeClr w14:val="tx1"/>
            </w14:solidFill>
          </w14:textFill>
        </w:rPr>
        <w:t>浙江新环环保科技有限公司</w:t>
      </w:r>
      <w:r>
        <w:rPr>
          <w:rFonts w:hint="default" w:ascii="Times New Roman" w:hAnsi="Times New Roman" w:cs="Times New Roman"/>
          <w:color w:val="000000" w:themeColor="text1"/>
          <w:lang w:eastAsia="zh-CN"/>
          <w14:textFill>
            <w14:solidFill>
              <w14:schemeClr w14:val="tx1"/>
            </w14:solidFill>
          </w14:textFill>
        </w:rPr>
        <w:t>受</w:t>
      </w:r>
      <w:r>
        <w:rPr>
          <w:rFonts w:hint="default" w:ascii="Times New Roman" w:hAnsi="Times New Roman" w:cs="Times New Roman"/>
          <w:color w:val="000000" w:themeColor="text1"/>
          <w:lang w:val="en-US" w:eastAsia="zh-CN"/>
          <w14:textFill>
            <w14:solidFill>
              <w14:schemeClr w14:val="tx1"/>
            </w14:solidFill>
          </w14:textFill>
        </w:rPr>
        <w:t>义乌市人民政府福田街道办事处</w:t>
      </w:r>
      <w:r>
        <w:rPr>
          <w:rFonts w:hint="default" w:ascii="Times New Roman" w:hAnsi="Times New Roman" w:cs="Times New Roman"/>
          <w:color w:val="000000" w:themeColor="text1"/>
          <w:lang w:eastAsia="zh-CN"/>
          <w14:textFill>
            <w14:solidFill>
              <w14:schemeClr w14:val="tx1"/>
            </w14:solidFill>
          </w14:textFill>
        </w:rPr>
        <w:t>委托，承担了</w:t>
      </w:r>
      <w:r>
        <w:rPr>
          <w:rFonts w:hint="eastAsia" w:ascii="Times New Roman" w:cs="Times New Roman"/>
          <w:color w:val="000000" w:themeColor="text1"/>
          <w:lang w:val="en-US" w:eastAsia="zh-CN"/>
          <w14:textFill>
            <w14:solidFill>
              <w14:schemeClr w14:val="tx1"/>
            </w14:solidFill>
          </w14:textFill>
        </w:rPr>
        <w:t>福田街道十里牌村拟出让地块</w:t>
      </w:r>
      <w:r>
        <w:rPr>
          <w:rFonts w:hint="default" w:ascii="Times New Roman" w:hAnsi="Times New Roman" w:cs="Times New Roman"/>
          <w:color w:val="000000" w:themeColor="text1"/>
          <w:lang w:eastAsia="zh-CN"/>
          <w14:textFill>
            <w14:solidFill>
              <w14:schemeClr w14:val="tx1"/>
            </w14:solidFill>
          </w14:textFill>
        </w:rPr>
        <w:t>的土壤污染状况调查工作。</w:t>
      </w:r>
      <w:r>
        <w:rPr>
          <w:rFonts w:hint="eastAsia" w:ascii="Times New Roman" w:hAnsi="Times New Roman" w:eastAsia="宋体" w:cs="Times New Roman"/>
          <w:color w:val="auto"/>
          <w:sz w:val="24"/>
          <w:szCs w:val="24"/>
          <w:lang w:eastAsia="zh-CN"/>
        </w:rPr>
        <w:t>我单位接受委托后，对地块进行现场踏勘、资料收集和人员访谈等工作，并按照相关导则和标准编写了</w:t>
      </w:r>
      <w:r>
        <w:rPr>
          <w:rFonts w:hint="eastAsia" w:cs="Times New Roman"/>
          <w:color w:val="auto"/>
          <w:sz w:val="24"/>
          <w:szCs w:val="24"/>
          <w:lang w:eastAsia="zh-CN"/>
        </w:rPr>
        <w:t>《</w:t>
      </w:r>
      <w:r>
        <w:rPr>
          <w:rFonts w:hint="eastAsia" w:cs="Times New Roman"/>
          <w:color w:val="000000" w:themeColor="text1"/>
          <w:sz w:val="24"/>
          <w:szCs w:val="24"/>
          <w:lang w:val="en-US" w:eastAsia="zh-CN"/>
          <w14:textFill>
            <w14:solidFill>
              <w14:schemeClr w14:val="tx1"/>
            </w14:solidFill>
          </w14:textFill>
        </w:rPr>
        <w:t>福田街道十里牌村拟出让地块</w:t>
      </w:r>
      <w:r>
        <w:rPr>
          <w:rFonts w:hint="default" w:ascii="Times New Roman" w:hAnsi="Times New Roman" w:cs="Times New Roman"/>
          <w:color w:val="000000" w:themeColor="text1"/>
          <w:sz w:val="24"/>
          <w:szCs w:val="24"/>
          <w:lang w:val="en-US" w:eastAsia="zh-CN"/>
          <w14:textFill>
            <w14:solidFill>
              <w14:schemeClr w14:val="tx1"/>
            </w14:solidFill>
          </w14:textFill>
        </w:rPr>
        <w:t>第一阶段土壤污染状况调查报告</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eastAsia="zh-CN"/>
        </w:rPr>
        <w:t>。浙江省环境科技有限公司受金华市生态环境局义乌分局委托，与</w:t>
      </w:r>
      <w:r>
        <w:rPr>
          <w:rFonts w:hint="eastAsia" w:ascii="Times New Roman" w:hAnsi="Times New Roman" w:eastAsia="宋体" w:cs="Times New Roman"/>
          <w:color w:val="auto"/>
          <w:sz w:val="24"/>
          <w:szCs w:val="24"/>
          <w:lang w:val="en-US" w:eastAsia="zh-CN"/>
        </w:rPr>
        <w:t>2024年1</w:t>
      </w:r>
      <w:r>
        <w:rPr>
          <w:rFonts w:hint="eastAsia" w:ascii="Times New Roman"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月8日在主持义乌召开了本地块土壤污染状况调查报告的技术评审会，会上本报告通过评审并出具了专家组意见，我单位对报告进行修改完善后提交了备案稿。</w:t>
      </w:r>
    </w:p>
    <w:p w14:paraId="1AF99142">
      <w:pPr>
        <w:spacing w:line="360" w:lineRule="auto"/>
        <w:ind w:firstLine="480" w:firstLineChars="200"/>
        <w:rPr>
          <w:rFonts w:hint="default" w:ascii="Times New Roman" w:hAnsi="Times New Roman" w:eastAsia="宋体" w:cs="Times New Roman"/>
          <w:color w:val="auto"/>
          <w:spacing w:val="-4"/>
          <w:sz w:val="24"/>
          <w:szCs w:val="24"/>
          <w:highlight w:val="none"/>
          <w:lang w:eastAsia="zh-CN"/>
        </w:rPr>
      </w:pPr>
      <w:r>
        <w:rPr>
          <w:rFonts w:hint="default" w:ascii="Times New Roman" w:hAnsi="Times New Roman" w:eastAsia="宋体" w:cs="Times New Roman"/>
          <w:b w:val="0"/>
          <w:bCs w:val="0"/>
          <w:color w:val="auto"/>
          <w:kern w:val="2"/>
          <w:sz w:val="24"/>
          <w:szCs w:val="24"/>
          <w:lang w:val="en-US" w:eastAsia="zh-CN" w:bidi="ar-SA"/>
        </w:rPr>
        <w:t>通过现场踏勘、人员访谈以及查阅历史资料可知，</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调查地块</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历史上</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为</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耕地</w:t>
      </w:r>
      <w:r>
        <w:rPr>
          <w:rFonts w:hint="eastAsia" w:cs="Times New Roman"/>
          <w:color w:val="000000" w:themeColor="text1"/>
          <w:sz w:val="24"/>
          <w:szCs w:val="24"/>
          <w:highlight w:val="none"/>
          <w:lang w:val="en-US" w:eastAsia="zh-CN"/>
          <w14:textFill>
            <w14:solidFill>
              <w14:schemeClr w14:val="tx1"/>
            </w14:solidFill>
          </w14:textFill>
        </w:rPr>
        <w:t>、临时停车场</w:t>
      </w:r>
      <w:r>
        <w:rPr>
          <w:rFonts w:hint="eastAsia" w:cs="Times New Roman"/>
          <w:sz w:val="24"/>
          <w:szCs w:val="24"/>
          <w:highlight w:val="none"/>
          <w:lang w:val="en-US" w:eastAsia="zh-CN"/>
        </w:rPr>
        <w:t>。本地块内土壤颜色气味正常，未见污染痕迹</w:t>
      </w:r>
      <w:r>
        <w:rPr>
          <w:rFonts w:hint="default" w:ascii="Times New Roman" w:hAnsi="Times New Roman" w:eastAsia="宋体" w:cs="Times New Roman"/>
          <w:color w:val="auto"/>
          <w:spacing w:val="-4"/>
          <w:sz w:val="24"/>
          <w:szCs w:val="24"/>
          <w:highlight w:val="none"/>
          <w:lang w:eastAsia="zh-CN"/>
        </w:rPr>
        <w:t>地块不涉及有毒有害物质储存与输送、涉及环境污染事故、危险废物堆放、固废堆放与倾倒、固废填埋等，不存在其它可能造成土壤污染的情形。</w:t>
      </w:r>
      <w:r>
        <w:rPr>
          <w:rFonts w:hint="eastAsia" w:ascii="Times New Roman" w:hAnsi="Times New Roman" w:eastAsia="宋体" w:cs="Times New Roman"/>
          <w:color w:val="auto"/>
          <w:spacing w:val="-4"/>
          <w:sz w:val="24"/>
          <w:szCs w:val="24"/>
          <w:highlight w:val="none"/>
          <w:lang w:val="en-US" w:eastAsia="zh-CN"/>
        </w:rPr>
        <w:t>其相邻地块现状及历史上</w:t>
      </w:r>
      <w:r>
        <w:rPr>
          <w:rFonts w:hint="eastAsia" w:cs="Times New Roman"/>
          <w:sz w:val="24"/>
          <w:szCs w:val="24"/>
          <w:lang w:val="en-US" w:eastAsia="zh-CN"/>
        </w:rPr>
        <w:t>存在</w:t>
      </w:r>
      <w:r>
        <w:rPr>
          <w:rFonts w:hint="eastAsia" w:ascii="宋体" w:hAnsi="宋体" w:eastAsia="宋体" w:cs="宋体"/>
          <w:color w:val="000000" w:themeColor="text1"/>
          <w:kern w:val="0"/>
          <w:sz w:val="24"/>
          <w:szCs w:val="24"/>
          <w:lang w:val="en-US" w:eastAsia="zh-CN" w:bidi="ar"/>
          <w14:textFill>
            <w14:solidFill>
              <w14:schemeClr w14:val="tx1"/>
            </w14:solidFill>
          </w14:textFill>
        </w:rPr>
        <w:t>主要为</w:t>
      </w:r>
      <w:r>
        <w:rPr>
          <w:rFonts w:hint="default" w:ascii="Times New Roman" w:hAnsi="Times New Roman" w:cs="Times New Roman"/>
          <w:color w:val="000000" w:themeColor="text1"/>
          <w:sz w:val="24"/>
          <w:szCs w:val="24"/>
          <w:lang w:val="en-US" w:eastAsia="zh-CN"/>
          <w14:textFill>
            <w14:solidFill>
              <w14:schemeClr w14:val="tx1"/>
            </w14:solidFill>
          </w14:textFill>
        </w:rPr>
        <w:t>耕地、道路、</w:t>
      </w:r>
      <w:r>
        <w:rPr>
          <w:rFonts w:hint="eastAsia" w:cs="Times New Roman"/>
          <w:color w:val="000000" w:themeColor="text1"/>
          <w:sz w:val="24"/>
          <w:szCs w:val="24"/>
          <w:lang w:val="en-US" w:eastAsia="zh-CN"/>
          <w14:textFill>
            <w14:solidFill>
              <w14:schemeClr w14:val="tx1"/>
            </w14:solidFill>
          </w14:textFill>
        </w:rPr>
        <w:t>居民住宅</w:t>
      </w:r>
      <w:r>
        <w:rPr>
          <w:rFonts w:hint="eastAsia" w:ascii="宋体" w:hAnsi="宋体" w:eastAsia="宋体" w:cs="宋体"/>
          <w:color w:val="000000" w:themeColor="text1"/>
          <w:kern w:val="0"/>
          <w:sz w:val="24"/>
          <w:szCs w:val="24"/>
          <w:lang w:val="en-US" w:eastAsia="zh-CN" w:bidi="ar"/>
          <w14:textFill>
            <w14:solidFill>
              <w14:schemeClr w14:val="tx1"/>
            </w14:solidFill>
          </w14:textFill>
        </w:rPr>
        <w:t>等</w:t>
      </w:r>
      <w:r>
        <w:rPr>
          <w:rFonts w:hint="eastAsia" w:cs="Times New Roman"/>
          <w:sz w:val="24"/>
          <w:szCs w:val="24"/>
          <w:lang w:val="en-US" w:eastAsia="zh-CN"/>
        </w:rPr>
        <w:t>。</w:t>
      </w:r>
      <w:r>
        <w:rPr>
          <w:rFonts w:hint="eastAsia" w:ascii="Times New Roman" w:hAnsi="Times New Roman" w:eastAsia="宋体" w:cs="Times New Roman"/>
          <w:color w:val="auto"/>
          <w:spacing w:val="-4"/>
          <w:sz w:val="24"/>
          <w:szCs w:val="24"/>
          <w:highlight w:val="none"/>
          <w:lang w:val="en-US" w:eastAsia="zh-CN"/>
        </w:rPr>
        <w:t>因此，相邻地块</w:t>
      </w:r>
      <w:r>
        <w:rPr>
          <w:rFonts w:hint="default" w:ascii="Times New Roman" w:hAnsi="Times New Roman" w:eastAsia="宋体" w:cs="Times New Roman"/>
          <w:color w:val="auto"/>
          <w:spacing w:val="-4"/>
          <w:sz w:val="24"/>
          <w:szCs w:val="24"/>
          <w:highlight w:val="none"/>
          <w:lang w:eastAsia="zh-CN"/>
        </w:rPr>
        <w:t>不涉及有毒有害物质储存与输送、涉及环境污染事故、危险废物堆放、固废堆放与倾倒、固废填埋等，不存在其它可能造成土壤污染的情形。</w:t>
      </w:r>
    </w:p>
    <w:p w14:paraId="75DAD4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根据现场快筛结果数据，监测因子总铬、锌满足《建设用地土壤污染风险评估技术导则》（DB33/T892-2022）中表A.2建设用地土壤污染物风险评估筛选值其他项目中的敏感用地筛选值，其余监测因子满足《土壤环境质量建设用地土壤污染风险管控标准（试行）》（GB36600-2018）中第一类用地质量标准筛选值，地块内VOCs数值低于对照点，该地块受重金属污染以及有机物污染的可能性较低。结合现场踏勘及人员访谈收集到的其他地块信息，综合分析后认为，此地块不存在污染源及明显的受污染情况。</w:t>
      </w:r>
    </w:p>
    <w:p w14:paraId="6BCBDA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sectPr>
          <w:headerReference r:id="rId3" w:type="default"/>
          <w:pgSz w:w="11906" w:h="16838"/>
          <w:pgMar w:top="1440" w:right="1803" w:bottom="1440" w:left="1803" w:header="1020" w:footer="1020" w:gutter="0"/>
          <w:pgBorders>
            <w:top w:val="none" w:sz="0" w:space="0"/>
            <w:left w:val="none" w:sz="0" w:space="0"/>
            <w:bottom w:val="none" w:sz="0" w:space="0"/>
            <w:right w:val="none" w:sz="0" w:space="0"/>
          </w:pgBorders>
          <w:pgNumType w:fmt="decimal" w:start="1"/>
          <w:cols w:space="0" w:num="1"/>
          <w:rtlGutter w:val="0"/>
          <w:docGrid w:linePitch="312" w:charSpace="0"/>
        </w:sectPr>
      </w:pPr>
      <w:r>
        <w:rPr>
          <w:rFonts w:hint="eastAsia" w:cs="Times New Roman"/>
          <w:color w:val="000000" w:themeColor="text1"/>
          <w:sz w:val="24"/>
          <w:szCs w:val="24"/>
          <w:lang w:val="en-US" w:eastAsia="zh-CN"/>
          <w14:textFill>
            <w14:solidFill>
              <w14:schemeClr w14:val="tx1"/>
            </w14:solidFill>
          </w14:textFill>
        </w:rPr>
        <w:t>综上所述</w:t>
      </w:r>
      <w:r>
        <w:rPr>
          <w:rFonts w:hint="default" w:ascii="Times New Roman" w:hAnsi="Times New Roman" w:eastAsia="宋体"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lang w:eastAsia="zh-CN"/>
          <w14:textFill>
            <w14:solidFill>
              <w14:schemeClr w14:val="tx1"/>
            </w14:solidFill>
          </w14:textFill>
        </w:rPr>
        <w:t>根据</w:t>
      </w:r>
      <w:r>
        <w:rPr>
          <w:rFonts w:hint="default" w:ascii="Times New Roman" w:hAnsi="Times New Roman" w:eastAsia="宋体" w:cs="Times New Roman"/>
          <w:color w:val="000000" w:themeColor="text1"/>
          <w:sz w:val="24"/>
          <w14:textFill>
            <w14:solidFill>
              <w14:schemeClr w14:val="tx1"/>
            </w14:solidFill>
          </w14:textFill>
        </w:rPr>
        <w:t>《建设用地土壤污染状况调查技术导则》（</w:t>
      </w:r>
      <w:r>
        <w:rPr>
          <w:rFonts w:hint="default" w:ascii="Times New Roman" w:hAnsi="Times New Roman" w:eastAsia="TimesNewRomanPSMT" w:cs="Times New Roman"/>
          <w:color w:val="000000" w:themeColor="text1"/>
          <w:sz w:val="24"/>
          <w14:textFill>
            <w14:solidFill>
              <w14:schemeClr w14:val="tx1"/>
            </w14:solidFill>
          </w14:textFill>
        </w:rPr>
        <w:t>HJ25.1-2019</w:t>
      </w:r>
      <w:r>
        <w:rPr>
          <w:rFonts w:hint="default" w:ascii="Times New Roman" w:hAnsi="Times New Roman" w:eastAsia="宋体"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《浙江省建设用地土壤污染风险管控和修复监督管理办法（修订）》（浙环发〔2024〕47号）</w:t>
      </w:r>
      <w:r>
        <w:rPr>
          <w:rFonts w:hint="default" w:ascii="Times New Roman" w:hAnsi="Times New Roman" w:eastAsia="宋体" w:cs="Times New Roman"/>
          <w:color w:val="000000" w:themeColor="text1"/>
          <w:sz w:val="24"/>
          <w14:textFill>
            <w14:solidFill>
              <w14:schemeClr w14:val="tx1"/>
            </w14:solidFill>
          </w14:textFill>
        </w:rPr>
        <w:t>及《土壤司关于部长信箱来信</w:t>
      </w:r>
      <w:r>
        <w:rPr>
          <w:rFonts w:hint="default" w:ascii="Times New Roman" w:hAnsi="Times New Roman" w:eastAsia="TimesNewRomanPSMT" w:cs="Times New Roman"/>
          <w:color w:val="000000" w:themeColor="text1"/>
          <w:sz w:val="24"/>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农用地变更用途是否需要做土壤污染检测</w:t>
      </w:r>
      <w:r>
        <w:rPr>
          <w:rFonts w:hint="default" w:ascii="Times New Roman" w:hAnsi="Times New Roman" w:eastAsia="TimesNewRomanPSMT" w:cs="Times New Roman"/>
          <w:color w:val="000000" w:themeColor="text1"/>
          <w:sz w:val="24"/>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等三个办理单的答复》，</w:t>
      </w:r>
      <w:r>
        <w:rPr>
          <w:rFonts w:hint="default" w:ascii="Times New Roman" w:hAnsi="Times New Roman" w:eastAsia="TimesNewRomanPSMT" w:cs="Times New Roman"/>
          <w:color w:val="000000" w:themeColor="text1"/>
          <w:sz w:val="24"/>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第一阶段土壤污染状况调查是以资料收集、现场踏勘和人员访谈为主的污染识别阶段，原则上不进行现场采样分析。若第一阶段调查确认地块内及周围区域当前和历史上均无可能的污染源，则认为地块的环境状况可以接受，调查活动可以结束</w:t>
      </w:r>
      <w:r>
        <w:rPr>
          <w:rFonts w:hint="default" w:ascii="Times New Roman" w:hAnsi="Times New Roman" w:eastAsia="TimesNewRomanPSMT" w:cs="Times New Roman"/>
          <w:color w:val="000000" w:themeColor="text1"/>
          <w:sz w:val="24"/>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。因此本地块</w:t>
      </w:r>
      <w:r>
        <w:rPr>
          <w:rFonts w:hint="default" w:ascii="Times New Roman" w:hAnsi="Times New Roman" w:cs="Times New Roman"/>
          <w:color w:val="000000" w:themeColor="text1"/>
          <w:sz w:val="24"/>
          <w:szCs w:val="24"/>
          <w:lang w:val="en-US" w:eastAsia="zh-CN"/>
          <w14:textFill>
            <w14:solidFill>
              <w14:schemeClr w14:val="tx1"/>
            </w14:solidFill>
          </w14:textFill>
        </w:rPr>
        <w:t>环境状况可以接受</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不属于污染地块</w:t>
      </w:r>
      <w:r>
        <w:rPr>
          <w:rFonts w:hint="eastAsia"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第一阶段调查工作可以结束，无需进入第二阶段的调查</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可以作为</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0701城镇住宅用地</w:t>
      </w:r>
      <w:r>
        <w:rPr>
          <w:rFonts w:hint="eastAsia" w:cs="Times New Roman"/>
          <w:color w:val="000000" w:themeColor="text1"/>
          <w:sz w:val="24"/>
          <w:szCs w:val="24"/>
          <w:highlight w:val="none"/>
          <w:lang w:val="en-US" w:eastAsia="zh-CN"/>
          <w14:textFill>
            <w14:solidFill>
              <w14:schemeClr w14:val="tx1"/>
            </w14:solidFill>
          </w14:textFill>
        </w:rPr>
        <w:t>开发利用</w:t>
      </w:r>
    </w:p>
    <w:p w14:paraId="42223BE0">
      <w:pPr>
        <w:spacing w:line="360" w:lineRule="auto"/>
        <w:rPr>
          <w:rFonts w:hint="default" w:ascii="Times New Roman" w:hAnsi="Times New Roman" w:eastAsia="宋体" w:cs="Times New Roman"/>
          <w:b w:val="0"/>
          <w:bCs w:val="0"/>
          <w:color w:val="auto"/>
          <w:kern w:val="2"/>
          <w:sz w:val="24"/>
          <w:szCs w:val="24"/>
          <w:lang w:val="en-US" w:eastAsia="zh-CN" w:bidi="ar-SA"/>
        </w:rPr>
      </w:pPr>
    </w:p>
    <w:p w14:paraId="6EC0DD71">
      <w:pPr>
        <w:pStyle w:val="5"/>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4CF71">
    <w:pPr>
      <w:widowControl w:val="0"/>
      <w:pBdr>
        <w:bottom w:val="single" w:color="auto" w:sz="4" w:space="1"/>
      </w:pBdr>
      <w:snapToGrid w:val="0"/>
      <w:jc w:val="both"/>
      <w:rPr>
        <w:rFonts w:ascii="Times New Roman" w:hAnsi="Times New Roman" w:eastAsia="宋体" w:cs="Times New Roman"/>
        <w:spacing w:val="0"/>
        <w:kern w:val="0"/>
        <w:sz w:val="21"/>
        <w:szCs w:val="21"/>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E42FD"/>
    <w:multiLevelType w:val="multilevel"/>
    <w:tmpl w:val="29FE42FD"/>
    <w:lvl w:ilvl="0" w:tentative="0">
      <w:start w:val="1"/>
      <w:numFmt w:val="decimal"/>
      <w:pStyle w:val="4"/>
      <w:suff w:val="space"/>
      <w:lvlText w:val="%1"/>
      <w:lvlJc w:val="left"/>
      <w:pPr>
        <w:ind w:left="0" w:firstLine="0"/>
      </w:pPr>
      <w:rPr>
        <w:rFonts w:hint="eastAsia"/>
      </w:rPr>
    </w:lvl>
    <w:lvl w:ilvl="1" w:tentative="0">
      <w:start w:val="1"/>
      <w:numFmt w:val="decimal"/>
      <w:lvlText w:val="%1.%2"/>
      <w:lvlJc w:val="left"/>
      <w:pPr>
        <w:tabs>
          <w:tab w:val="left" w:pos="425"/>
        </w:tabs>
        <w:ind w:left="840" w:firstLine="0"/>
      </w:pPr>
      <w:rPr>
        <w:rFonts w:hint="default" w:ascii="Arial" w:hAnsi="Arial"/>
        <w:lang w:val="en-US"/>
      </w:rPr>
    </w:lvl>
    <w:lvl w:ilvl="2" w:tentative="0">
      <w:start w:val="1"/>
      <w:numFmt w:val="decimal"/>
      <w:suff w:val="nothing"/>
      <w:lvlText w:val="%1.%2.%3"/>
      <w:lvlJc w:val="left"/>
      <w:pPr>
        <w:ind w:left="0" w:firstLine="0"/>
      </w:pPr>
      <w:rPr>
        <w:rFonts w:hint="default" w:ascii="Arial" w:hAnsi="Arial"/>
      </w:r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2NjEyMDgzNWNhNzdiOTJkY2MzOWFlOTYxNWI0NTgifQ=="/>
  </w:docVars>
  <w:rsids>
    <w:rsidRoot w:val="00000000"/>
    <w:rsid w:val="197F1FC5"/>
    <w:rsid w:val="24456C89"/>
    <w:rsid w:val="49A26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widowControl w:val="0"/>
      <w:numPr>
        <w:ilvl w:val="0"/>
        <w:numId w:val="1"/>
      </w:numPr>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widowControl w:val="0"/>
      <w:spacing w:line="360" w:lineRule="auto"/>
      <w:ind w:left="480" w:leftChars="-100" w:right="-100" w:rightChars="-100" w:firstLine="420"/>
      <w:jc w:val="both"/>
    </w:pPr>
    <w:rPr>
      <w:rFonts w:ascii="宋体" w:hAnsi="Times New Roman" w:eastAsia="宋体" w:cs="Times New Roman"/>
      <w:kern w:val="0"/>
      <w:sz w:val="24"/>
      <w:szCs w:val="18"/>
      <w:lang w:val="en-US" w:eastAsia="zh-CN" w:bidi="ar-SA"/>
    </w:rPr>
  </w:style>
  <w:style w:type="paragraph" w:customStyle="1" w:styleId="3">
    <w:name w:val="正文首行缩进2个字 Char"/>
    <w:qFormat/>
    <w:uiPriority w:val="0"/>
    <w:pPr>
      <w:widowControl w:val="0"/>
      <w:spacing w:line="360" w:lineRule="auto"/>
      <w:ind w:firstLine="480" w:firstLineChars="200"/>
      <w:jc w:val="both"/>
    </w:pPr>
    <w:rPr>
      <w:rFonts w:ascii="Times New Roman" w:hAnsi="Times New Roman" w:eastAsia="楷体" w:cs="Times New Roman"/>
      <w:kern w:val="2"/>
      <w:sz w:val="24"/>
      <w:szCs w:val="22"/>
      <w:lang w:val="en-US" w:eastAsia="zh-CN" w:bidi="ar-SA"/>
    </w:rPr>
  </w:style>
  <w:style w:type="paragraph" w:styleId="5">
    <w:name w:val="Plain Text"/>
    <w:basedOn w:val="1"/>
    <w:qFormat/>
    <w:uiPriority w:val="99"/>
    <w:rPr>
      <w:rFonts w:ascii="宋体" w:hAnsi="Courier New"/>
      <w:kern w:val="0"/>
      <w:sz w:val="20"/>
      <w:szCs w:val="20"/>
    </w:rPr>
  </w:style>
  <w:style w:type="paragraph" w:styleId="6">
    <w:name w:val="footer"/>
    <w:basedOn w:val="1"/>
    <w:unhideWhenUsed/>
    <w:qFormat/>
    <w:uiPriority w:val="99"/>
    <w:pPr>
      <w:widowControl w:val="0"/>
      <w:tabs>
        <w:tab w:val="center" w:pos="4153"/>
        <w:tab w:val="right" w:pos="8306"/>
      </w:tabs>
      <w:snapToGrid w:val="0"/>
      <w:jc w:val="left"/>
    </w:pPr>
    <w:rPr>
      <w:rFonts w:ascii="Times New Roman" w:hAnsi="Times New Roman" w:eastAsia="宋体" w:cs="Times New Roman"/>
      <w:kern w:val="0"/>
      <w:sz w:val="18"/>
      <w:szCs w:val="18"/>
      <w:lang w:val="en-US" w:eastAsia="zh-CN" w:bidi="ar-SA"/>
    </w:rPr>
  </w:style>
  <w:style w:type="paragraph" w:customStyle="1" w:styleId="9">
    <w:name w:val="报告正文-连续目录"/>
    <w:qFormat/>
    <w:uiPriority w:val="0"/>
    <w:pPr>
      <w:widowControl w:val="0"/>
      <w:spacing w:line="440" w:lineRule="exact"/>
      <w:ind w:firstLine="200" w:firstLineChars="200"/>
      <w:jc w:val="both"/>
    </w:pPr>
    <w:rPr>
      <w:rFonts w:ascii="Arial" w:hAnsi="Arial"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1449</Words>
  <Characters>1562</Characters>
  <Lines>0</Lines>
  <Paragraphs>0</Paragraphs>
  <TotalTime>0</TotalTime>
  <ScaleCrop>false</ScaleCrop>
  <LinksUpToDate>false</LinksUpToDate>
  <CharactersWithSpaces>1566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2024-11-26T01:06:00Z</dcterms:created>
  <dc:creator>Administrator</dc:creator>
  <cp:lastModifiedBy>菲菲</cp:lastModifiedBy>
  <dcterms:modified xsi:type="dcterms:W3CDTF">2024-11-26T02:01:09Z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44DD9D9B259942D19A2C39F89C959A2E_12</vt:lpwstr>
  </property>
</Properties>
</file>