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0488D">
      <w:pPr>
        <w:spacing w:line="440" w:lineRule="exact"/>
        <w:jc w:val="center"/>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eastAsia="zh-CN"/>
        </w:rPr>
        <w:t>关于</w:t>
      </w:r>
      <w:r>
        <w:rPr>
          <w:rFonts w:hint="eastAsia" w:ascii="Times New Roman" w:hAnsi="Times New Roman" w:eastAsia="宋体" w:cs="Times New Roman"/>
          <w:sz w:val="30"/>
          <w:szCs w:val="30"/>
          <w:lang w:val="en-US" w:eastAsia="zh-CN"/>
        </w:rPr>
        <w:t>国际商贸城拆迁安置一小区十一号地块53#陈金芳户第一阶段土壤污染状况调查报告的公示</w:t>
      </w:r>
    </w:p>
    <w:p w14:paraId="2107828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国际商贸城拆迁安置一小区十一号地块53#陈金芳户</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位于</w:t>
      </w:r>
      <w:r>
        <w:rPr>
          <w:rFonts w:hint="eastAsia" w:cs="Times New Roman"/>
          <w:color w:val="000000" w:themeColor="text1"/>
          <w:kern w:val="2"/>
          <w:sz w:val="24"/>
          <w:szCs w:val="24"/>
          <w:highlight w:val="none"/>
          <w:lang w:val="en-US" w:eastAsia="zh-CN" w:bidi="ar-SA"/>
          <w14:textFill>
            <w14:solidFill>
              <w14:schemeClr w14:val="tx1"/>
            </w14:solidFill>
          </w14:textFill>
        </w:rPr>
        <w:t>义乌市福田街道长春二区</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，总调查面积为</w:t>
      </w:r>
      <w:r>
        <w:rPr>
          <w:rFonts w:hint="eastAsia" w:cs="Times New Roman"/>
          <w:color w:val="000000" w:themeColor="text1"/>
          <w:kern w:val="2"/>
          <w:sz w:val="24"/>
          <w:szCs w:val="24"/>
          <w:highlight w:val="none"/>
          <w:lang w:val="en-US" w:eastAsia="zh-CN" w:bidi="ar-SA"/>
          <w14:textFill>
            <w14:solidFill>
              <w14:schemeClr w14:val="tx1"/>
            </w14:solidFill>
          </w14:textFill>
        </w:rPr>
        <w:t>45.0m</w:t>
      </w:r>
      <w:r>
        <w:rPr>
          <w:rFonts w:hint="eastAsia" w:cs="Times New Roman"/>
          <w:color w:val="000000" w:themeColor="text1"/>
          <w:kern w:val="2"/>
          <w:sz w:val="24"/>
          <w:szCs w:val="24"/>
          <w:highlight w:val="none"/>
          <w:vertAlign w:val="superscript"/>
          <w:lang w:val="en-US" w:eastAsia="zh-CN" w:bidi="ar-SA"/>
          <w14:textFill>
            <w14:solidFill>
              <w14:schemeClr w14:val="tx1"/>
            </w14:solidFill>
          </w14:textFill>
        </w:rPr>
        <w:t>2</w:t>
      </w:r>
      <w:r>
        <w:rPr>
          <w:rFonts w:hint="eastAsia" w:cs="Times New Roman"/>
          <w:color w:val="000000" w:themeColor="text1"/>
          <w:kern w:val="2"/>
          <w:sz w:val="24"/>
          <w:szCs w:val="24"/>
          <w:highlight w:val="none"/>
          <w:vertAlign w:val="baseli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中心桩号为东经120.090320°，北纬29.33375</w:t>
      </w:r>
      <w:r>
        <w:rPr>
          <w:rFonts w:hint="eastAsia" w:cs="Times New Roman"/>
          <w:color w:val="000000" w:themeColor="text1"/>
          <w:kern w:val="2"/>
          <w:sz w:val="24"/>
          <w:szCs w:val="24"/>
          <w:highlight w:val="none"/>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东至</w:t>
      </w:r>
      <w:r>
        <w:rPr>
          <w:rFonts w:hint="eastAsia" w:cs="Times New Roman"/>
          <w:color w:val="000000" w:themeColor="text1"/>
          <w:kern w:val="2"/>
          <w:sz w:val="24"/>
          <w:szCs w:val="24"/>
          <w:highlight w:val="none"/>
          <w:lang w:val="en-US" w:eastAsia="zh-CN" w:bidi="ar-SA"/>
          <w14:textFill>
            <w14:solidFill>
              <w14:schemeClr w14:val="tx1"/>
            </w14:solidFill>
          </w14:textFill>
        </w:rPr>
        <w:t>社区停车场</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，南至</w:t>
      </w:r>
      <w:r>
        <w:rPr>
          <w:rFonts w:hint="eastAsia" w:cs="Times New Roman"/>
          <w:color w:val="000000" w:themeColor="text1"/>
          <w:kern w:val="2"/>
          <w:sz w:val="24"/>
          <w:szCs w:val="24"/>
          <w:highlight w:val="none"/>
          <w:lang w:val="en-US" w:eastAsia="zh-CN" w:bidi="ar-SA"/>
          <w14:textFill>
            <w14:solidFill>
              <w14:schemeClr w14:val="tx1"/>
            </w14:solidFill>
          </w14:textFill>
        </w:rPr>
        <w:t>社区道路</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，西至</w:t>
      </w:r>
      <w:r>
        <w:rPr>
          <w:rFonts w:hint="eastAsia" w:cs="Times New Roman"/>
          <w:color w:val="000000" w:themeColor="text1"/>
          <w:kern w:val="2"/>
          <w:sz w:val="24"/>
          <w:szCs w:val="24"/>
          <w:highlight w:val="none"/>
          <w:lang w:val="en-US" w:eastAsia="zh-CN" w:bidi="ar-SA"/>
          <w14:textFill>
            <w14:solidFill>
              <w14:schemeClr w14:val="tx1"/>
            </w14:solidFill>
          </w14:textFill>
        </w:rPr>
        <w:t>长春二区居民住宅</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，北至</w:t>
      </w:r>
      <w:r>
        <w:rPr>
          <w:rFonts w:hint="eastAsia" w:cs="Times New Roman"/>
          <w:color w:val="000000" w:themeColor="text1"/>
          <w:kern w:val="2"/>
          <w:sz w:val="24"/>
          <w:szCs w:val="24"/>
          <w:highlight w:val="none"/>
          <w:lang w:val="en-US" w:eastAsia="zh-CN" w:bidi="ar-SA"/>
          <w14:textFill>
            <w14:solidFill>
              <w14:schemeClr w14:val="tx1"/>
            </w14:solidFill>
          </w14:textFill>
        </w:rPr>
        <w:t>社区道路</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14:paraId="45A40DD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本地块原为农用地，根据《</w:t>
      </w:r>
      <w:r>
        <w:rPr>
          <w:rFonts w:hint="eastAsia" w:cs="Times New Roman"/>
          <w:color w:val="000000" w:themeColor="text1"/>
          <w:kern w:val="2"/>
          <w:sz w:val="24"/>
          <w:szCs w:val="24"/>
          <w:highlight w:val="none"/>
          <w:lang w:val="en-US" w:eastAsia="zh-CN" w:bidi="ar-SA"/>
          <w14:textFill>
            <w14:solidFill>
              <w14:schemeClr w14:val="tx1"/>
            </w14:solidFill>
          </w14:textFill>
        </w:rPr>
        <w:t>义乌中心城区商贸城02单元（YZ-SMC-02）控制性详细规划</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》，该地块规划用途为</w:t>
      </w:r>
      <w:r>
        <w:rPr>
          <w:rFonts w:hint="eastAsia" w:cs="Times New Roman"/>
          <w:color w:val="000000" w:themeColor="text1"/>
          <w:kern w:val="2"/>
          <w:sz w:val="24"/>
          <w:szCs w:val="24"/>
          <w:highlight w:val="none"/>
          <w:lang w:val="en-US" w:eastAsia="zh-CN" w:bidi="ar-SA"/>
          <w14:textFill>
            <w14:solidFill>
              <w14:schemeClr w14:val="tx1"/>
            </w14:solidFill>
          </w14:textFill>
        </w:rPr>
        <w:t>R22服务设施用地</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，为《国土空间调查、规划、用途管制用地用海分类指南》（2023年11月）中的中的居住用地（</w:t>
      </w:r>
      <w:r>
        <w:rPr>
          <w:rFonts w:hint="eastAsia" w:cs="Times New Roman"/>
          <w:color w:val="000000" w:themeColor="text1"/>
          <w:kern w:val="2"/>
          <w:sz w:val="24"/>
          <w:szCs w:val="24"/>
          <w:highlight w:val="none"/>
          <w:lang w:val="en-US" w:eastAsia="zh-CN" w:bidi="ar-SA"/>
          <w14:textFill>
            <w14:solidFill>
              <w14:schemeClr w14:val="tx1"/>
            </w14:solidFill>
          </w14:textFill>
        </w:rPr>
        <w:t>0702城镇社区服务设施用地</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），属敏感用地。</w:t>
      </w:r>
    </w:p>
    <w:p w14:paraId="1E47D7D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根据《中华人民共和国土壤污染防治法》（2019年1月1日起实施）第五十九条，用途变更为住宅、公共管理与公共服务用地的地块，变更前应当按照规定进行土壤污染状况调查。《浙江省建设用地土壤污染风险管控和修复监督管理办法（修订）》（浙环发〔2024〕47号）第七条规定，本地块属于用途变更地块，原用地性质为农用地，现地块规划用途为</w:t>
      </w:r>
      <w:r>
        <w:rPr>
          <w:rFonts w:hint="eastAsia" w:cs="Times New Roman"/>
          <w:color w:val="000000" w:themeColor="text1"/>
          <w:kern w:val="2"/>
          <w:sz w:val="24"/>
          <w:szCs w:val="24"/>
          <w:highlight w:val="none"/>
          <w:lang w:val="en-US" w:eastAsia="zh-CN" w:bidi="ar-SA"/>
          <w14:textFill>
            <w14:solidFill>
              <w14:schemeClr w14:val="tx1"/>
            </w14:solidFill>
          </w14:textFill>
        </w:rPr>
        <w:t>R22服务设施用地</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，属敏感用地，为甲类地块，责任人应按规定进行土壤污染状况调查，浙江新环环保科技有限公司受义乌市福田街道办事处委托，承担了</w:t>
      </w:r>
      <w:r>
        <w:rPr>
          <w:rFonts w:hint="eastAsia" w:cs="Times New Roman"/>
          <w:color w:val="000000" w:themeColor="text1"/>
          <w:kern w:val="2"/>
          <w:sz w:val="24"/>
          <w:szCs w:val="24"/>
          <w:highlight w:val="none"/>
          <w:lang w:val="en-US" w:eastAsia="zh-CN" w:bidi="ar-SA"/>
          <w14:textFill>
            <w14:solidFill>
              <w14:schemeClr w14:val="tx1"/>
            </w14:solidFill>
          </w14:textFill>
        </w:rPr>
        <w:t>国际商贸城拆迁安置一小区十一号地块53#陈金芳户</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的土壤污染状况调查工作</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auto"/>
          <w:sz w:val="24"/>
          <w:szCs w:val="24"/>
          <w:lang w:eastAsia="zh-CN"/>
        </w:rPr>
        <w:t>我单位接受委托后，对地块进行现场踏勘、资料收集和人员访谈等工作，并按照相关导则和标准编写了</w:t>
      </w:r>
      <w:r>
        <w:rPr>
          <w:rFonts w:hint="eastAsia" w:cs="Times New Roman"/>
          <w:color w:val="auto"/>
          <w:sz w:val="24"/>
          <w:szCs w:val="24"/>
          <w:lang w:eastAsia="zh-CN"/>
        </w:rPr>
        <w:t>《</w:t>
      </w:r>
      <w:r>
        <w:rPr>
          <w:rFonts w:hint="eastAsia" w:cs="Times New Roman"/>
          <w:color w:val="000000" w:themeColor="text1"/>
          <w:sz w:val="24"/>
          <w:szCs w:val="24"/>
          <w:highlight w:val="none"/>
          <w:lang w:val="en-US" w:eastAsia="zh-CN"/>
          <w14:textFill>
            <w14:solidFill>
              <w14:schemeClr w14:val="tx1"/>
            </w14:solidFill>
          </w14:textFill>
        </w:rPr>
        <w:t>国际商贸城拆迁安置一小区十一号地块53#陈金芳户</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第一阶段土壤污染状况调查报告</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。浙江省环境科技有限公司受金华市生态环境局义乌分局委托，与</w:t>
      </w:r>
      <w:r>
        <w:rPr>
          <w:rFonts w:hint="eastAsia" w:ascii="Times New Roman" w:hAnsi="Times New Roman" w:eastAsia="宋体" w:cs="Times New Roman"/>
          <w:color w:val="auto"/>
          <w:sz w:val="24"/>
          <w:szCs w:val="24"/>
          <w:lang w:val="en-US" w:eastAsia="zh-CN"/>
        </w:rPr>
        <w:t>2024年1</w:t>
      </w:r>
      <w:r>
        <w:rPr>
          <w:rFonts w:hint="eastAsia" w:ascii="Times New Roman"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月8日在主持义乌召开了本地块土壤污染状况调查报告的技术评审会，会上本报告通过评审并出具了专家组意见，我单位对报告进行修改完善后提交了备案稿。</w:t>
      </w:r>
    </w:p>
    <w:p w14:paraId="4D08D179">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val="0"/>
          <w:color w:val="auto"/>
          <w:kern w:val="2"/>
          <w:sz w:val="24"/>
          <w:szCs w:val="24"/>
          <w:lang w:val="en-US" w:eastAsia="zh-CN" w:bidi="ar-SA"/>
        </w:rPr>
        <w:t>通过现场踏勘、人员访谈以及查阅历史资料可知，</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调查地块</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历史上</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耕地</w:t>
      </w:r>
      <w:r>
        <w:rPr>
          <w:rFonts w:hint="eastAsia" w:cs="Times New Roman"/>
          <w:color w:val="000000" w:themeColor="text1"/>
          <w:sz w:val="24"/>
          <w:szCs w:val="24"/>
          <w:highlight w:val="none"/>
          <w:lang w:val="en-US" w:eastAsia="zh-CN"/>
          <w14:textFill>
            <w14:solidFill>
              <w14:schemeClr w14:val="tx1"/>
            </w14:solidFill>
          </w14:textFill>
        </w:rPr>
        <w:t>、临时停车位，</w:t>
      </w:r>
      <w:r>
        <w:rPr>
          <w:rFonts w:hint="default" w:ascii="Times New Roman" w:hAnsi="Times New Roman" w:eastAsia="宋体" w:cs="Times New Roman"/>
          <w:color w:val="000000" w:themeColor="text1"/>
          <w:sz w:val="24"/>
          <w:szCs w:val="24"/>
          <w:highlight w:val="none"/>
          <w14:textFill>
            <w14:solidFill>
              <w14:schemeClr w14:val="tx1"/>
            </w14:solidFill>
          </w14:textFill>
        </w:rPr>
        <w:t>通过现场踏勘</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，本地块内未见污染痕迹</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地块四周历史</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上存在耕地、道路、</w:t>
      </w:r>
      <w:r>
        <w:rPr>
          <w:rFonts w:hint="eastAsia" w:cs="Times New Roman"/>
          <w:color w:val="000000" w:themeColor="text1"/>
          <w:sz w:val="24"/>
          <w:szCs w:val="24"/>
          <w:highlight w:val="none"/>
          <w:lang w:val="en-US" w:eastAsia="zh-CN"/>
          <w14:textFill>
            <w14:solidFill>
              <w14:schemeClr w14:val="tx1"/>
            </w14:solidFill>
          </w14:textFill>
        </w:rPr>
        <w:t>居民住宅等。</w:t>
      </w:r>
      <w:r>
        <w:rPr>
          <w:rFonts w:hint="eastAsia" w:ascii="宋体" w:hAnsi="宋体" w:eastAsia="宋体" w:cs="宋体"/>
          <w:color w:val="000000" w:themeColor="text1"/>
          <w:kern w:val="0"/>
          <w:sz w:val="24"/>
          <w:szCs w:val="24"/>
          <w:lang w:val="en-US" w:eastAsia="zh-CN" w:bidi="ar"/>
          <w14:textFill>
            <w14:solidFill>
              <w14:schemeClr w14:val="tx1"/>
            </w14:solidFill>
          </w14:textFill>
        </w:rPr>
        <w:t>地块内</w:t>
      </w:r>
      <w:r>
        <w:rPr>
          <w:rFonts w:hint="eastAsia" w:ascii="宋体" w:hAnsi="宋体" w:cs="宋体"/>
          <w:color w:val="000000" w:themeColor="text1"/>
          <w:kern w:val="0"/>
          <w:sz w:val="24"/>
          <w:szCs w:val="24"/>
          <w:lang w:val="en-US" w:eastAsia="zh-CN" w:bidi="ar"/>
          <w14:textFill>
            <w14:solidFill>
              <w14:schemeClr w14:val="tx1"/>
            </w14:solidFill>
          </w14:textFill>
        </w:rPr>
        <w:t>及相邻地块</w:t>
      </w:r>
      <w:r>
        <w:rPr>
          <w:rFonts w:hint="eastAsia" w:ascii="宋体" w:hAnsi="宋体" w:eastAsia="宋体" w:cs="宋体"/>
          <w:color w:val="000000" w:themeColor="text1"/>
          <w:kern w:val="0"/>
          <w:sz w:val="24"/>
          <w:szCs w:val="24"/>
          <w:lang w:val="en-US" w:eastAsia="zh-CN" w:bidi="ar"/>
          <w14:textFill>
            <w14:solidFill>
              <w14:schemeClr w14:val="tx1"/>
            </w14:solidFill>
          </w14:textFill>
        </w:rPr>
        <w:t>未涉及工矿企业用途、规模化畜禽养殖、有毒有害物质贮存或输送，未涉及环境污染事故、危险废物堆放、固废堆放与倾倒、固废填埋等，未存在其它可能造成土壤污染的情形</w:t>
      </w:r>
      <w:r>
        <w:rPr>
          <w:rFonts w:hint="eastAsia" w:ascii="宋体" w:hAnsi="宋体" w:cs="宋体"/>
          <w:color w:val="000000" w:themeColor="text1"/>
          <w:kern w:val="0"/>
          <w:sz w:val="24"/>
          <w:szCs w:val="24"/>
          <w:lang w:val="en-US" w:eastAsia="zh-CN" w:bidi="ar"/>
          <w14:textFill>
            <w14:solidFill>
              <w14:schemeClr w14:val="tx1"/>
            </w14:solidFill>
          </w14:textFill>
        </w:rPr>
        <w:t>。</w:t>
      </w:r>
    </w:p>
    <w:p w14:paraId="18257F36">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both"/>
        <w:textAlignment w:val="auto"/>
        <w:outlineLvl w:val="9"/>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根据现场快筛结果数据，监测因子总铬</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锌</w:t>
      </w:r>
      <w:r>
        <w:rPr>
          <w:rFonts w:hint="default" w:ascii="Times New Roman" w:hAnsi="Times New Roman" w:eastAsia="宋体" w:cs="Times New Roman"/>
          <w:color w:val="000000" w:themeColor="text1"/>
          <w:sz w:val="24"/>
          <w:szCs w:val="24"/>
          <w:highlight w:val="none"/>
          <w14:textFill>
            <w14:solidFill>
              <w14:schemeClr w14:val="tx1"/>
            </w14:solidFill>
          </w14:textFill>
        </w:rPr>
        <w:t>满足《建设用地土壤污染风险评估技术导则》（</w:t>
      </w:r>
      <w:r>
        <w:rPr>
          <w:rFonts w:hint="default" w:ascii="Times New Roman" w:hAnsi="Times New Roman" w:eastAsia="TimesNewRomanPSMT" w:cs="Times New Roman"/>
          <w:color w:val="000000" w:themeColor="text1"/>
          <w:sz w:val="24"/>
          <w:szCs w:val="24"/>
          <w:highlight w:val="none"/>
          <w14:textFill>
            <w14:solidFill>
              <w14:schemeClr w14:val="tx1"/>
            </w14:solidFill>
          </w14:textFill>
        </w:rPr>
        <w:t>DB33/T892-2022</w:t>
      </w:r>
      <w:r>
        <w:rPr>
          <w:rFonts w:hint="default" w:ascii="Times New Roman" w:hAnsi="Times New Roman" w:eastAsia="宋体" w:cs="Times New Roman"/>
          <w:color w:val="000000" w:themeColor="text1"/>
          <w:sz w:val="24"/>
          <w:szCs w:val="24"/>
          <w:highlight w:val="none"/>
          <w14:textFill>
            <w14:solidFill>
              <w14:schemeClr w14:val="tx1"/>
            </w14:solidFill>
          </w14:textFill>
        </w:rPr>
        <w:t>）中表</w:t>
      </w:r>
      <w:r>
        <w:rPr>
          <w:rFonts w:hint="default" w:ascii="Times New Roman" w:hAnsi="Times New Roman" w:eastAsia="TimesNewRomanPSMT" w:cs="Times New Roman"/>
          <w:color w:val="000000" w:themeColor="text1"/>
          <w:sz w:val="24"/>
          <w:szCs w:val="24"/>
          <w:highlight w:val="none"/>
          <w14:textFill>
            <w14:solidFill>
              <w14:schemeClr w14:val="tx1"/>
            </w14:solidFill>
          </w14:textFill>
        </w:rPr>
        <w:t>A.2</w:t>
      </w:r>
      <w:r>
        <w:rPr>
          <w:rFonts w:hint="default" w:ascii="Times New Roman" w:hAnsi="Times New Roman" w:eastAsia="宋体" w:cs="Times New Roman"/>
          <w:color w:val="000000" w:themeColor="text1"/>
          <w:sz w:val="24"/>
          <w:szCs w:val="24"/>
          <w:highlight w:val="none"/>
          <w14:textFill>
            <w14:solidFill>
              <w14:schemeClr w14:val="tx1"/>
            </w14:solidFill>
          </w14:textFill>
        </w:rPr>
        <w:t>建设用地土壤污染物风险评估筛选值其他项目中的敏感用地筛选值，其余监测因子满足《土壤环境质量建设用地土壤污染风险管控标准（试行）》（</w:t>
      </w:r>
      <w:r>
        <w:rPr>
          <w:rFonts w:hint="default" w:ascii="Times New Roman" w:hAnsi="Times New Roman" w:eastAsia="TimesNewRomanPSMT" w:cs="Times New Roman"/>
          <w:color w:val="000000" w:themeColor="text1"/>
          <w:sz w:val="24"/>
          <w:szCs w:val="24"/>
          <w:highlight w:val="none"/>
          <w14:textFill>
            <w14:solidFill>
              <w14:schemeClr w14:val="tx1"/>
            </w14:solidFill>
          </w14:textFill>
        </w:rPr>
        <w:t>GB36600-2018</w:t>
      </w:r>
      <w:r>
        <w:rPr>
          <w:rFonts w:hint="default" w:ascii="Times New Roman" w:hAnsi="Times New Roman" w:eastAsia="宋体" w:cs="Times New Roman"/>
          <w:color w:val="000000" w:themeColor="text1"/>
          <w:sz w:val="24"/>
          <w:szCs w:val="24"/>
          <w:highlight w:val="none"/>
          <w14:textFill>
            <w14:solidFill>
              <w14:schemeClr w14:val="tx1"/>
            </w14:solidFill>
          </w14:textFill>
        </w:rPr>
        <w:t>）中第一类用地质量标准筛选值，</w:t>
      </w:r>
      <w:r>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VOCs</w:t>
      </w:r>
      <w:r>
        <w:rPr>
          <w:rFonts w:hint="eastAsia" w:cs="Times New Roman"/>
          <w:color w:val="000000" w:themeColor="text1"/>
          <w:sz w:val="24"/>
          <w:szCs w:val="24"/>
          <w:highlight w:val="none"/>
          <w:lang w:val="en-US" w:eastAsia="zh-CN"/>
          <w14:textFill>
            <w14:solidFill>
              <w14:schemeClr w14:val="tx1"/>
            </w14:solidFill>
          </w14:textFill>
        </w:rPr>
        <w:t>略高于对照点，但快筛数据较低，</w:t>
      </w:r>
      <w:r>
        <w:rPr>
          <w:rFonts w:hint="default" w:ascii="Times New Roman" w:hAnsi="Times New Roman" w:eastAsia="宋体" w:cs="Times New Roman"/>
          <w:color w:val="000000" w:themeColor="text1"/>
          <w:sz w:val="24"/>
          <w:szCs w:val="24"/>
          <w:highlight w:val="none"/>
          <w14:textFill>
            <w14:solidFill>
              <w14:schemeClr w14:val="tx1"/>
            </w14:solidFill>
          </w14:textFill>
        </w:rPr>
        <w:t>结合现场踏勘及人员访谈收集到的其他地块信息，</w:t>
      </w:r>
      <w:r>
        <w:rPr>
          <w:rFonts w:hint="eastAsia" w:cs="Times New Roman"/>
          <w:color w:val="000000" w:themeColor="text1"/>
          <w:sz w:val="24"/>
          <w:szCs w:val="24"/>
          <w:highlight w:val="none"/>
          <w:lang w:val="en-US" w:eastAsia="zh-CN"/>
          <w14:textFill>
            <w14:solidFill>
              <w14:schemeClr w14:val="tx1"/>
            </w14:solidFill>
          </w14:textFill>
        </w:rPr>
        <w:t>考虑本地块及周边地块历史上均无有机污染物，故</w:t>
      </w:r>
      <w:r>
        <w:rPr>
          <w:rFonts w:hint="default" w:ascii="Times New Roman" w:hAnsi="Times New Roman" w:eastAsia="宋体" w:cs="Times New Roman"/>
          <w:color w:val="000000" w:themeColor="text1"/>
          <w:sz w:val="24"/>
          <w:szCs w:val="24"/>
          <w:highlight w:val="none"/>
          <w14:textFill>
            <w14:solidFill>
              <w14:schemeClr w14:val="tx1"/>
            </w14:solidFill>
          </w14:textFill>
        </w:rPr>
        <w:t>此地块不存在污染源及明显的受污染情况。</w:t>
      </w:r>
    </w:p>
    <w:p w14:paraId="2126DBA2">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cs="宋体"/>
          <w:color w:val="000000" w:themeColor="text1"/>
          <w:kern w:val="0"/>
          <w:sz w:val="24"/>
          <w:szCs w:val="24"/>
          <w:lang w:val="en-US" w:eastAsia="zh-CN" w:bidi="ar"/>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综上所述</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lang w:eastAsia="zh-CN"/>
          <w14:textFill>
            <w14:solidFill>
              <w14:schemeClr w14:val="tx1"/>
            </w14:solidFill>
          </w14:textFill>
        </w:rPr>
        <w:t>根据</w:t>
      </w:r>
      <w:r>
        <w:rPr>
          <w:rFonts w:hint="default" w:ascii="Times New Roman" w:hAnsi="Times New Roman" w:eastAsia="宋体" w:cs="Times New Roman"/>
          <w:color w:val="000000" w:themeColor="text1"/>
          <w:sz w:val="24"/>
          <w14:textFill>
            <w14:solidFill>
              <w14:schemeClr w14:val="tx1"/>
            </w14:solidFill>
          </w14:textFill>
        </w:rPr>
        <w:t>《建设用地土壤污染状况调查技术导则》（</w:t>
      </w:r>
      <w:r>
        <w:rPr>
          <w:rFonts w:hint="default" w:ascii="Times New Roman" w:hAnsi="Times New Roman" w:eastAsia="TimesNewRomanPSMT" w:cs="Times New Roman"/>
          <w:color w:val="000000" w:themeColor="text1"/>
          <w:sz w:val="24"/>
          <w14:textFill>
            <w14:solidFill>
              <w14:schemeClr w14:val="tx1"/>
            </w14:solidFill>
          </w14:textFill>
        </w:rPr>
        <w:t>HJ25.1-2019</w:t>
      </w:r>
      <w:r>
        <w:rPr>
          <w:rFonts w:hint="default" w:ascii="Times New Roman" w:hAnsi="Times New Roman" w:eastAsia="宋体"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《浙江省建设用地土壤污染风险管控和修复监督管理办法（修订）》（浙环发〔2024〕47号）</w:t>
      </w:r>
      <w:r>
        <w:rPr>
          <w:rFonts w:hint="default" w:ascii="Times New Roman" w:hAnsi="Times New Roman" w:eastAsia="宋体" w:cs="Times New Roman"/>
          <w:color w:val="000000" w:themeColor="text1"/>
          <w:sz w:val="24"/>
          <w14:textFill>
            <w14:solidFill>
              <w14:schemeClr w14:val="tx1"/>
            </w14:solidFill>
          </w14:textFill>
        </w:rPr>
        <w:t>及《土壤司关于部长信箱来信</w:t>
      </w:r>
      <w:r>
        <w:rPr>
          <w:rFonts w:hint="default" w:ascii="Times New Roman" w:hAnsi="Times New Roman" w:eastAsia="TimesNewRomanPSMT"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农用地变更用途是否需要做土壤污染检测</w:t>
      </w:r>
      <w:r>
        <w:rPr>
          <w:rFonts w:hint="default" w:ascii="Times New Roman" w:hAnsi="Times New Roman" w:eastAsia="TimesNewRomanPSMT"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等三个办理单的答复》，</w:t>
      </w:r>
      <w:r>
        <w:rPr>
          <w:rFonts w:hint="default" w:ascii="Times New Roman" w:hAnsi="Times New Roman" w:eastAsia="TimesNewRomanPSMT"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第一阶段土壤污染状况调查是以资料收集、现场踏勘和人员访谈为主的污染识别阶段，原则上不进行现场采样分析。若第一阶段调查确认地块内及周围区域当前和历史上均无可能的污染源，则认为地块的环境状况可以接受，调查活动可以结束</w:t>
      </w:r>
      <w:r>
        <w:rPr>
          <w:rFonts w:hint="default" w:ascii="Times New Roman" w:hAnsi="Times New Roman" w:eastAsia="TimesNewRomanPSMT"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。因此本地块</w:t>
      </w:r>
      <w:r>
        <w:rPr>
          <w:rFonts w:hint="default" w:ascii="Times New Roman" w:hAnsi="Times New Roman" w:cs="Times New Roman"/>
          <w:color w:val="000000" w:themeColor="text1"/>
          <w:sz w:val="24"/>
          <w:szCs w:val="24"/>
          <w:lang w:val="en-US" w:eastAsia="zh-CN"/>
          <w14:textFill>
            <w14:solidFill>
              <w14:schemeClr w14:val="tx1"/>
            </w14:solidFill>
          </w14:textFill>
        </w:rPr>
        <w:t>环境状况可以接受</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不属于污染地块</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第一阶段调查工作可以结束，无需进入第二阶段的调查</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可以作为</w:t>
      </w:r>
      <w:r>
        <w:rPr>
          <w:rFonts w:hint="eastAsia" w:cs="Times New Roman"/>
          <w:color w:val="000000" w:themeColor="text1"/>
          <w:sz w:val="24"/>
          <w:szCs w:val="24"/>
          <w:highlight w:val="none"/>
          <w:lang w:val="en-US" w:eastAsia="zh-CN"/>
          <w14:textFill>
            <w14:solidFill>
              <w14:schemeClr w14:val="tx1"/>
            </w14:solidFill>
          </w14:textFill>
        </w:rPr>
        <w:t>0702城镇社区服务设施用地开发利用。</w:t>
      </w:r>
    </w:p>
    <w:p w14:paraId="66A0A1A7">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sz w:val="24"/>
          <w:szCs w:val="24"/>
          <w:highlight w:val="none"/>
          <w:lang w:eastAsia="zh-CN"/>
        </w:rPr>
      </w:pPr>
    </w:p>
    <w:p w14:paraId="0F0E2EEE">
      <w:pPr>
        <w:spacing w:line="360" w:lineRule="auto"/>
        <w:rPr>
          <w:rFonts w:hint="default" w:ascii="Times New Roman" w:hAnsi="Times New Roman" w:eastAsia="宋体" w:cs="Times New Roman"/>
          <w:b w:val="0"/>
          <w:bCs w:val="0"/>
          <w:color w:val="auto"/>
          <w:kern w:val="2"/>
          <w:sz w:val="24"/>
          <w:szCs w:val="24"/>
          <w:lang w:val="en-US" w:eastAsia="zh-CN" w:bidi="ar-SA"/>
        </w:rPr>
      </w:pPr>
      <w:bookmarkStart w:id="0" w:name="_GoBack"/>
      <w:bookmarkEnd w:id="0"/>
    </w:p>
    <w:p w14:paraId="6EC0DD71">
      <w:pPr>
        <w:pStyle w:val="5"/>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F71">
    <w:pPr>
      <w:widowControl w:val="0"/>
      <w:pBdr>
        <w:bottom w:val="single" w:color="auto" w:sz="4" w:space="1"/>
      </w:pBdr>
      <w:snapToGrid w:val="0"/>
      <w:jc w:val="both"/>
      <w:rPr>
        <w:rFonts w:ascii="Times New Roman" w:hAnsi="Times New Roman" w:eastAsia="宋体" w:cs="Times New Roman"/>
        <w:spacing w:val="0"/>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2"/>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197F1FC5"/>
    <w:rsid w:val="24456C89"/>
    <w:rsid w:val="483B48D8"/>
    <w:rsid w:val="49A26000"/>
    <w:rsid w:val="5355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spacing w:line="360" w:lineRule="auto"/>
      <w:ind w:left="480" w:leftChars="-100" w:right="-100" w:rightChars="-100" w:firstLine="420"/>
      <w:jc w:val="both"/>
    </w:pPr>
    <w:rPr>
      <w:rFonts w:ascii="宋体" w:hAnsi="Times New Roman" w:eastAsia="宋体" w:cs="Times New Roman"/>
      <w:kern w:val="0"/>
      <w:sz w:val="24"/>
      <w:szCs w:val="18"/>
      <w:lang w:val="en-US" w:eastAsia="zh-CN" w:bidi="ar-SA"/>
    </w:rPr>
  </w:style>
  <w:style w:type="paragraph" w:customStyle="1" w:styleId="4">
    <w:name w:val="正文首行缩进2个字 Char"/>
    <w:qFormat/>
    <w:uiPriority w:val="0"/>
    <w:pPr>
      <w:widowControl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5">
    <w:name w:val="Plain Text"/>
    <w:basedOn w:val="1"/>
    <w:qFormat/>
    <w:uiPriority w:val="99"/>
    <w:rPr>
      <w:rFonts w:ascii="宋体" w:hAnsi="Courier New"/>
      <w:kern w:val="0"/>
      <w:sz w:val="20"/>
      <w:szCs w:val="20"/>
    </w:rPr>
  </w:style>
  <w:style w:type="paragraph" w:styleId="6">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customStyle="1" w:styleId="9">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1441</Words>
  <Characters>1557</Characters>
  <Lines>0</Lines>
  <Paragraphs>0</Paragraphs>
  <TotalTime>0</TotalTime>
  <ScaleCrop>false</ScaleCrop>
  <LinksUpToDate>false</LinksUpToDate>
  <CharactersWithSpaces>1571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2024-11-26T02:13:21Z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44DD9D9B259942D19A2C39F89C959A2E_12</vt:lpwstr>
  </property>
</Properties>
</file>