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pStyle w:val="9"/>
        <w:spacing w:line="360" w:lineRule="auto"/>
        <w:ind w:firstLine="0" w:firstLineChars="0"/>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关于</w:t>
      </w:r>
      <w:r>
        <w:rPr>
          <w:rFonts w:hint="default" w:ascii="Times New Roman" w:hAnsi="Times New Roman" w:eastAsia="宋体" w:cs="Times New Roman"/>
          <w:kern w:val="2"/>
          <w:sz w:val="30"/>
          <w:szCs w:val="30"/>
          <w:lang w:val="en-US" w:eastAsia="zh-CN" w:bidi="ar-SA"/>
        </w:rPr>
        <w:t>工人北路下余新村地块1#-1-9、2#-1-7</w:t>
      </w:r>
      <w:r>
        <w:rPr>
          <w:rFonts w:hint="eastAsia" w:ascii="Times New Roman" w:hAnsi="Times New Roman" w:eastAsia="宋体" w:cs="Times New Roman"/>
          <w:sz w:val="30"/>
          <w:szCs w:val="30"/>
          <w:lang w:val="en-US" w:eastAsia="zh-CN"/>
        </w:rPr>
        <w:t>第一阶段土壤污染状况调查报告的公示</w:t>
      </w:r>
    </w:p>
    <w:p w14:paraId="00AAC4F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工人北路下余新村地块1#-1-9、2#-1-7</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位于福田街道</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工人北路与诚信大道交叉口东北侧</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，中心桩号为东经120.10400</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°，北纬29.348674°</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东至</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通福一区</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居民住宅，南至</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鼎富广场写字楼</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，西至</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工人北路</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，北至浙江大学国际健康医学研究院，总调查面积为</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2257.2m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（其中1#-1：188.10m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、1#-2：125.40m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、1#-3：125.40m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、1#-4：125.40m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、1#-5：125.40m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、1#-6：125.40m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、1#-7：125.40m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、1#-8：125.40m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、1#-9：188.10m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；2#-1：188.10m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、2#-2：125.40m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、2#-3：125.40m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、2#-4：125.40m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、2#-5：125.40m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、2#-6：125.40m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、2#-7：188.10m</w:t>
      </w:r>
      <w:r>
        <w:rPr>
          <w:rFonts w:hint="default" w:ascii="Times New Roman" w:hAnsi="Times New Roman"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4"/>
          <w:vertAlign w:val="baseli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522A952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本地块原为农用地，根据《</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义乌中心城区商贸城05单元（YZ-SMC-05）控制性详细规划</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》，该地块规划用途为R21居住用地，为《国土空间调查、规划、用途管制用地用海分类指南》（2023年11月）中的中的居住用地（0701城镇住宅用地），属敏感用地。</w:t>
      </w:r>
    </w:p>
    <w:p w14:paraId="1E47D7D7">
      <w:pPr>
        <w:pStyle w:val="2"/>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000000" w:themeColor="text1"/>
          <w:lang w:eastAsia="zh-CN"/>
          <w14:textFill>
            <w14:solidFill>
              <w14:schemeClr w14:val="tx1"/>
            </w14:solidFill>
          </w14:textFill>
        </w:rPr>
        <w:t>根据《中华人民共和国土壤污染防治法》（2019年1月1日起实施）第五十九条，用途变更为住宅、公共管理与公共服务用地的地块，变更前应当按照规定进行土壤污染状况调查。</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《浙江省建设用地土壤污染风险管控和修复监督管理办法（修订）》（浙环发〔2024〕47号）</w:t>
      </w:r>
      <w:r>
        <w:rPr>
          <w:rFonts w:hint="default" w:ascii="Times New Roman" w:hAnsi="Times New Roman" w:cs="Times New Roman"/>
          <w:color w:val="000000" w:themeColor="text1"/>
          <w:lang w:eastAsia="zh-CN"/>
          <w14:textFill>
            <w14:solidFill>
              <w14:schemeClr w14:val="tx1"/>
            </w14:solidFill>
          </w14:textFill>
        </w:rPr>
        <w:t>第七条规定，</w:t>
      </w:r>
      <w:r>
        <w:rPr>
          <w:rFonts w:hint="default" w:ascii="Times New Roman" w:hAnsi="Times New Roman" w:cs="Times New Roman"/>
          <w:color w:val="000000" w:themeColor="text1"/>
          <w:lang w:val="en-US" w:eastAsia="zh-CN"/>
          <w14:textFill>
            <w14:solidFill>
              <w14:schemeClr w14:val="tx1"/>
            </w14:solidFill>
          </w14:textFill>
        </w:rPr>
        <w:t>本地块属于用途变更地块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原用地性质为农用地，现</w:t>
      </w:r>
      <w:r>
        <w:rPr>
          <w:rFonts w:hint="default" w:ascii="Times New Roman" w:hAnsi="Times New Roman" w:cs="Times New Roman"/>
          <w:color w:val="000000" w:themeColor="text1"/>
          <w:lang w:eastAsia="zh-CN"/>
          <w14:textFill>
            <w14:solidFill>
              <w14:schemeClr w14:val="tx1"/>
            </w14:solidFill>
          </w14:textFill>
        </w:rPr>
        <w:t>地块规划用途为</w:t>
      </w:r>
      <w:r>
        <w:rPr>
          <w:rFonts w:hint="default" w:ascii="Times New Roman" w:hAnsi="Times New Roman" w:cs="Times New Roman"/>
          <w:color w:val="000000" w:themeColor="text1"/>
          <w:lang w:val="en-US" w:eastAsia="zh-CN"/>
          <w14:textFill>
            <w14:solidFill>
              <w14:schemeClr w14:val="tx1"/>
            </w14:solidFill>
          </w14:textFill>
        </w:rPr>
        <w:t>居住用地/商业服务用地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属敏感用地，为甲类地块，</w:t>
      </w:r>
      <w:r>
        <w:rPr>
          <w:rFonts w:hint="default" w:ascii="Times New Roman" w:hAnsi="Times New Roman" w:cs="Times New Roman"/>
          <w:color w:val="000000" w:themeColor="text1"/>
          <w:lang w:eastAsia="zh-CN"/>
          <w14:textFill>
            <w14:solidFill>
              <w14:schemeClr w14:val="tx1"/>
            </w14:solidFill>
          </w14:textFill>
        </w:rPr>
        <w:t>责任人应按规定进行土壤污染状况调查，</w:t>
      </w:r>
      <w:r>
        <w:rPr>
          <w:rFonts w:hint="default" w:ascii="Times New Roman" w:hAnsi="Times New Roman" w:cs="Times New Roman"/>
          <w:color w:val="000000" w:themeColor="text1"/>
          <w:lang w:val="en-US" w:eastAsia="zh-CN"/>
          <w14:textFill>
            <w14:solidFill>
              <w14:schemeClr w14:val="tx1"/>
            </w14:solidFill>
          </w14:textFill>
        </w:rPr>
        <w:t>浙江新环环保科技有限公司</w:t>
      </w:r>
      <w:r>
        <w:rPr>
          <w:rFonts w:hint="default" w:ascii="Times New Roman" w:hAnsi="Times New Roman" w:cs="Times New Roman"/>
          <w:color w:val="000000" w:themeColor="text1"/>
          <w:lang w:eastAsia="zh-CN"/>
          <w14:textFill>
            <w14:solidFill>
              <w14:schemeClr w14:val="tx1"/>
            </w14:solidFill>
          </w14:textFill>
        </w:rPr>
        <w:t>受</w:t>
      </w:r>
      <w:r>
        <w:rPr>
          <w:rFonts w:hint="default" w:ascii="Times New Roman" w:hAnsi="Times New Roman" w:cs="Times New Roman"/>
          <w:color w:val="000000" w:themeColor="text1"/>
          <w:lang w:val="en-US" w:eastAsia="zh-CN"/>
          <w14:textFill>
            <w14:solidFill>
              <w14:schemeClr w14:val="tx1"/>
            </w14:solidFill>
          </w14:textFill>
        </w:rPr>
        <w:t>义乌市人民政府福田街道办事处</w:t>
      </w:r>
      <w:r>
        <w:rPr>
          <w:rFonts w:hint="default" w:ascii="Times New Roman" w:hAnsi="Times New Roman" w:cs="Times New Roman"/>
          <w:color w:val="000000" w:themeColor="text1"/>
          <w:lang w:eastAsia="zh-CN"/>
          <w14:textFill>
            <w14:solidFill>
              <w14:schemeClr w14:val="tx1"/>
            </w14:solidFill>
          </w14:textFill>
        </w:rPr>
        <w:t>委托，承担了</w:t>
      </w:r>
      <w:r>
        <w:rPr>
          <w:rFonts w:hint="default" w:ascii="Times New Roman" w:hAnsi="Times New Roman" w:cs="Times New Roman"/>
          <w:color w:val="000000" w:themeColor="text1"/>
          <w:lang w:val="en-US" w:eastAsia="zh-CN"/>
          <w14:textFill>
            <w14:solidFill>
              <w14:schemeClr w14:val="tx1"/>
            </w14:solidFill>
          </w14:textFill>
        </w:rPr>
        <w:t>工人北路下余新村地块1#-1-9、2#-1-7</w:t>
      </w:r>
      <w:r>
        <w:rPr>
          <w:rFonts w:hint="default" w:ascii="Times New Roman" w:hAnsi="Times New Roman" w:cs="Times New Roman"/>
          <w:color w:val="000000" w:themeColor="text1"/>
          <w:lang w:eastAsia="zh-CN"/>
          <w14:textFill>
            <w14:solidFill>
              <w14:schemeClr w14:val="tx1"/>
            </w14:solidFill>
          </w14:textFill>
        </w:rPr>
        <w:t>的土壤污染状况调查工作。</w:t>
      </w:r>
      <w:r>
        <w:rPr>
          <w:rFonts w:hint="eastAsia" w:ascii="Times New Roman" w:hAnsi="Times New Roman" w:eastAsia="宋体" w:cs="Times New Roman"/>
          <w:color w:val="auto"/>
          <w:sz w:val="24"/>
          <w:szCs w:val="24"/>
          <w:lang w:eastAsia="zh-CN"/>
        </w:rPr>
        <w:t>我单位接受委托后，对地块进行现场踏勘、资料收集和人员访谈等工作，并按照相关导则和标准编写了</w:t>
      </w:r>
      <w:r>
        <w:rPr>
          <w:rFonts w:hint="eastAsia" w:cs="Times New Roman"/>
          <w:color w:val="auto"/>
          <w:sz w:val="24"/>
          <w:szCs w:val="24"/>
          <w:lang w:eastAsia="zh-CN"/>
        </w:rPr>
        <w:t>《</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工人北路下余新村地块1#-1-9、2#-1-7第一阶段土壤污染状况调查报告</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。浙江省环境科技有限公司受金华市生态环境局义乌分局委托，与</w:t>
      </w:r>
      <w:r>
        <w:rPr>
          <w:rFonts w:hint="eastAsia" w:ascii="Times New Roman" w:hAnsi="Times New Roman" w:eastAsia="宋体" w:cs="Times New Roman"/>
          <w:color w:val="auto"/>
          <w:sz w:val="24"/>
          <w:szCs w:val="24"/>
          <w:lang w:val="en-US" w:eastAsia="zh-CN"/>
        </w:rPr>
        <w:t>2024年1</w:t>
      </w:r>
      <w:r>
        <w:rPr>
          <w:rFonts w:hint="eastAsia" w:ascii="Times New Roman"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月8日在主持义乌召开了本地块土壤污染状况调查报告的技术评审会，会上本报告通过评审并出具了专家组意见，我单位对报告进行修改完善后提交了备案稿。</w:t>
      </w:r>
    </w:p>
    <w:p w14:paraId="2D149CEE">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调查地块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历史上</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耕地、池塘、临时办公工棚，</w:t>
      </w:r>
      <w:r>
        <w:rPr>
          <w:rFonts w:hint="default" w:ascii="Times New Roman" w:hAnsi="Times New Roman" w:eastAsia="宋体" w:cs="Times New Roman"/>
          <w:color w:val="000000" w:themeColor="text1"/>
          <w:sz w:val="24"/>
          <w:szCs w:val="24"/>
          <w:highlight w:val="none"/>
          <w14:textFill>
            <w14:solidFill>
              <w14:schemeClr w14:val="tx1"/>
            </w14:solidFill>
          </w14:textFill>
        </w:rPr>
        <w:t>通过现场踏勘</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，本地块内土壤颜色气味正常，未见污染痕迹。</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地块四周历史</w:t>
      </w:r>
      <w:r>
        <w:rPr>
          <w:rFonts w:hint="default" w:ascii="Times New Roman" w:hAnsi="Times New Roman" w:cs="Times New Roman"/>
          <w:color w:val="000000" w:themeColor="text1"/>
          <w:sz w:val="24"/>
          <w:szCs w:val="24"/>
          <w:lang w:val="en-US" w:eastAsia="zh-CN"/>
          <w14:textFill>
            <w14:solidFill>
              <w14:schemeClr w14:val="tx1"/>
            </w14:solidFill>
          </w14:textFill>
        </w:rPr>
        <w:t>上存在耕地、道路、居民住宅、写字楼、诚信物流站、客运中心等。物流站主要经营电商货物的仓储及配送，包括家用电器、电子产品、日用百货等物品的仓储、理货、运输、配送等，不涉及有毒、有害、易燃易爆物质，不涉及危化品，生产主要工艺为货物的入仓和出仓作业</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，对土壤环境影响较小。</w:t>
      </w:r>
      <w:r>
        <w:rPr>
          <w:rFonts w:hint="default" w:ascii="Times New Roman" w:hAnsi="Times New Roman" w:cs="Times New Roman"/>
          <w:color w:val="000000" w:themeColor="text1"/>
          <w:sz w:val="24"/>
          <w:szCs w:val="24"/>
          <w:lang w:val="en-US" w:eastAsia="zh-CN"/>
          <w14:textFill>
            <w14:solidFill>
              <w14:schemeClr w14:val="tx1"/>
            </w14:solidFill>
          </w14:textFill>
        </w:rPr>
        <w:t>客运中心主要提供长途及公共交通服务，场地内不涉及维修站，配套的加油站位于客运中心西北角，距离本地块310m，仅供内部客车使用，场地内已做好防渗措施，且不在地下水上游，因此</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对</w:t>
      </w:r>
      <w:r>
        <w:rPr>
          <w:rFonts w:hint="default" w:ascii="Times New Roman" w:hAnsi="Times New Roman" w:cs="Times New Roman"/>
          <w:color w:val="000000" w:themeColor="text1"/>
          <w:sz w:val="24"/>
          <w:szCs w:val="24"/>
          <w:lang w:val="en-US" w:eastAsia="zh-CN"/>
          <w14:textFill>
            <w14:solidFill>
              <w14:schemeClr w14:val="tx1"/>
            </w14:solidFill>
          </w14:textFill>
        </w:rPr>
        <w:t>本地块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土壤环境影响较小。</w:t>
      </w:r>
      <w:r>
        <w:rPr>
          <w:rFonts w:hint="default" w:ascii="Times New Roman" w:hAnsi="Times New Roman" w:cs="Times New Roman"/>
          <w:color w:val="000000" w:themeColor="text1"/>
          <w:sz w:val="24"/>
          <w:szCs w:val="24"/>
          <w:lang w:val="en-US" w:eastAsia="zh-CN"/>
          <w14:textFill>
            <w14:solidFill>
              <w14:schemeClr w14:val="tx1"/>
            </w14:solidFill>
          </w14:textFill>
        </w:rPr>
        <w:t>浙大医学研究院主要为科研研究、科研教学，不涉及医疗门诊，不产生医疗废物、废水等，</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对</w:t>
      </w:r>
      <w:r>
        <w:rPr>
          <w:rFonts w:hint="default" w:ascii="Times New Roman" w:hAnsi="Times New Roman" w:cs="Times New Roman"/>
          <w:color w:val="000000" w:themeColor="text1"/>
          <w:sz w:val="24"/>
          <w:szCs w:val="24"/>
          <w:lang w:val="en-US" w:eastAsia="zh-CN"/>
          <w14:textFill>
            <w14:solidFill>
              <w14:schemeClr w14:val="tx1"/>
            </w14:solidFill>
          </w14:textFill>
        </w:rPr>
        <w:t>本地块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土壤环境影响较小</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地块内</w:t>
      </w:r>
      <w:r>
        <w:rPr>
          <w:rFonts w:hint="default" w:ascii="Times New Roman" w:hAnsi="Times New Roman" w:cs="Times New Roman"/>
          <w:color w:val="000000" w:themeColor="text1"/>
          <w:sz w:val="24"/>
          <w:szCs w:val="24"/>
          <w:lang w:val="en-US" w:eastAsia="zh-CN"/>
          <w14:textFill>
            <w14:solidFill>
              <w14:schemeClr w14:val="tx1"/>
            </w14:solidFill>
          </w14:textFill>
        </w:rPr>
        <w:t>相邻地块</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未涉及工矿企业用途、规模化畜禽养殖、有毒有害物质贮存或输送，未涉及环境污染事故、危险废物堆放、固废堆放与倾倒、固废填埋等，未存在其它可能造成土壤污染的情形</w:t>
      </w:r>
      <w:r>
        <w:rPr>
          <w:rFonts w:hint="default" w:ascii="Times New Roman" w:hAnsi="Times New Roman" w:cs="Times New Roman"/>
          <w:color w:val="000000" w:themeColor="text1"/>
          <w:sz w:val="24"/>
          <w:szCs w:val="24"/>
          <w:lang w:val="en-US" w:eastAsia="zh-CN"/>
          <w14:textFill>
            <w14:solidFill>
              <w14:schemeClr w14:val="tx1"/>
            </w14:solidFill>
          </w14:textFill>
        </w:rPr>
        <w:t>，因此基本不会对周边的土壤环境造成影响。</w:t>
      </w:r>
    </w:p>
    <w:p w14:paraId="60D90B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根据现场快筛结果数据，监测因子总铬</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锌</w:t>
      </w:r>
      <w:r>
        <w:rPr>
          <w:rFonts w:hint="default" w:ascii="Times New Roman" w:hAnsi="Times New Roman" w:eastAsia="宋体" w:cs="Times New Roman"/>
          <w:color w:val="000000" w:themeColor="text1"/>
          <w:sz w:val="24"/>
          <w:szCs w:val="24"/>
          <w14:textFill>
            <w14:solidFill>
              <w14:schemeClr w14:val="tx1"/>
            </w14:solidFill>
          </w14:textFill>
        </w:rPr>
        <w:t>满足《建设用地土壤污染风险评估技术导则》（DB33/T892-2022）中表A.2建设用地土壤污染物风险评估筛选值其他项目中的敏感用地筛选值，其余监测因子满足《土壤环境质量建设用地土壤污染风险管控标准（试行）》（GB36600-2018）中第一类用地质量标准筛选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VOCs</w:t>
      </w:r>
      <w:r>
        <w:rPr>
          <w:rFonts w:hint="eastAsia" w:ascii="Times New Roman" w:hAnsi="Times New Roman" w:cs="Times New Roman"/>
          <w:color w:val="000000" w:themeColor="text1"/>
          <w:sz w:val="24"/>
          <w:szCs w:val="24"/>
          <w:lang w:val="en-US" w:eastAsia="zh-CN"/>
          <w14:textFill>
            <w14:solidFill>
              <w14:schemeClr w14:val="tx1"/>
            </w14:solidFill>
          </w14:textFill>
        </w:rPr>
        <w:t>对比</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对照点</w:t>
      </w:r>
      <w:r>
        <w:rPr>
          <w:rFonts w:hint="eastAsia" w:ascii="Times New Roman" w:hAnsi="Times New Roman" w:cs="Times New Roman"/>
          <w:color w:val="000000" w:themeColor="text1"/>
          <w:sz w:val="24"/>
          <w:szCs w:val="24"/>
          <w:lang w:val="en-US" w:eastAsia="zh-CN"/>
          <w14:textFill>
            <w14:solidFill>
              <w14:schemeClr w14:val="tx1"/>
            </w14:solidFill>
          </w14:textFill>
        </w:rPr>
        <w:t>无显著差异</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结合现场踏勘及人员访谈收集到的其他地块信息，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考虑本地块及周边地块历史上均无有机污染物，故</w:t>
      </w:r>
      <w:r>
        <w:rPr>
          <w:rFonts w:hint="default" w:ascii="Times New Roman" w:hAnsi="Times New Roman" w:eastAsia="宋体" w:cs="Times New Roman"/>
          <w:color w:val="000000" w:themeColor="text1"/>
          <w:sz w:val="24"/>
          <w:szCs w:val="24"/>
          <w14:textFill>
            <w14:solidFill>
              <w14:schemeClr w14:val="tx1"/>
            </w14:solidFill>
          </w14:textFill>
        </w:rPr>
        <w:t>此地块不存在污染源及明显的受污染情况。</w:t>
      </w:r>
    </w:p>
    <w:p w14:paraId="36DBD3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yellow"/>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综上所述，</w:t>
      </w:r>
      <w:r>
        <w:rPr>
          <w:rFonts w:hint="default" w:ascii="Times New Roman" w:hAnsi="Times New Roman" w:cs="Times New Roman"/>
          <w:color w:val="000000" w:themeColor="text1"/>
          <w:sz w:val="24"/>
          <w:lang w:eastAsia="zh-CN"/>
          <w14:textFill>
            <w14:solidFill>
              <w14:schemeClr w14:val="tx1"/>
            </w14:solidFill>
          </w14:textFill>
        </w:rPr>
        <w:t>根据</w:t>
      </w:r>
      <w:r>
        <w:rPr>
          <w:rFonts w:hint="default" w:ascii="Times New Roman" w:hAnsi="Times New Roman" w:eastAsia="宋体" w:cs="Times New Roman"/>
          <w:color w:val="000000" w:themeColor="text1"/>
          <w:sz w:val="24"/>
          <w14:textFill>
            <w14:solidFill>
              <w14:schemeClr w14:val="tx1"/>
            </w14:solidFill>
          </w14:textFill>
        </w:rPr>
        <w:t>《建设用地土壤污染状况调查技术导则》（</w:t>
      </w:r>
      <w:r>
        <w:rPr>
          <w:rFonts w:hint="default" w:ascii="Times New Roman" w:hAnsi="Times New Roman" w:eastAsia="TimesNewRomanPSMT" w:cs="Times New Roman"/>
          <w:color w:val="000000" w:themeColor="text1"/>
          <w:sz w:val="24"/>
          <w14:textFill>
            <w14:solidFill>
              <w14:schemeClr w14:val="tx1"/>
            </w14:solidFill>
          </w14:textFill>
        </w:rPr>
        <w:t>HJ25.1-2019</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《浙江省建设用地土壤污染风险管控和修复监督管理办法（修订）》（浙环发〔2024〕47号）</w:t>
      </w:r>
      <w:r>
        <w:rPr>
          <w:rFonts w:hint="default" w:ascii="Times New Roman" w:hAnsi="Times New Roman" w:eastAsia="宋体" w:cs="Times New Roman"/>
          <w:color w:val="000000" w:themeColor="text1"/>
          <w:sz w:val="24"/>
          <w14:textFill>
            <w14:solidFill>
              <w14:schemeClr w14:val="tx1"/>
            </w14:solidFill>
          </w14:textFill>
        </w:rPr>
        <w:t>及《土壤司关于部长信箱来信</w:t>
      </w:r>
      <w:r>
        <w:rPr>
          <w:rFonts w:hint="default" w:ascii="Times New Roman" w:hAnsi="Times New Roman" w:eastAsia="TimesNewRomanPSMT"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农用地变更用途是否需要做土壤污染检测</w:t>
      </w:r>
      <w:r>
        <w:rPr>
          <w:rFonts w:hint="default" w:ascii="Times New Roman" w:hAnsi="Times New Roman" w:eastAsia="TimesNewRomanPSMT"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等三个办理单的答复》，</w:t>
      </w:r>
      <w:r>
        <w:rPr>
          <w:rFonts w:hint="default" w:ascii="Times New Roman" w:hAnsi="Times New Roman" w:eastAsia="TimesNewRomanPSMT"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第一阶段土壤污染状况调查是以资料收集、现场踏勘和人员访谈为主的污染识别阶段，原则上不进行现场采样分析。若第一阶段调查确认地块内及周围区域当前和历史上均无可能的污染源，则认为</w:t>
      </w:r>
      <w:bookmarkStart w:id="0" w:name="_GoBack"/>
      <w:bookmarkEnd w:id="0"/>
      <w:r>
        <w:rPr>
          <w:rFonts w:hint="default" w:ascii="Times New Roman" w:hAnsi="Times New Roman" w:eastAsia="宋体" w:cs="Times New Roman"/>
          <w:color w:val="000000" w:themeColor="text1"/>
          <w:sz w:val="24"/>
          <w14:textFill>
            <w14:solidFill>
              <w14:schemeClr w14:val="tx1"/>
            </w14:solidFill>
          </w14:textFill>
        </w:rPr>
        <w:t>地块的环境状况可以接受，调查活动可以结束</w:t>
      </w:r>
      <w:r>
        <w:rPr>
          <w:rFonts w:hint="default" w:ascii="Times New Roman" w:hAnsi="Times New Roman" w:eastAsia="TimesNewRomanPSMT"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。因此本地块</w:t>
      </w:r>
      <w:r>
        <w:rPr>
          <w:rFonts w:hint="default" w:ascii="Times New Roman" w:hAnsi="Times New Roman" w:cs="Times New Roman"/>
          <w:color w:val="000000" w:themeColor="text1"/>
          <w:sz w:val="24"/>
          <w:szCs w:val="24"/>
          <w:lang w:val="en-US" w:eastAsia="zh-CN"/>
          <w14:textFill>
            <w14:solidFill>
              <w14:schemeClr w14:val="tx1"/>
            </w14:solidFill>
          </w14:textFill>
        </w:rPr>
        <w:t>环境状况可以接受，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不属于污染地块</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第一阶段调查工作可以结束，无需进入第二阶段的调查</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可以作为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0701城镇住宅用地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6EB629FD">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sz w:val="24"/>
          <w:szCs w:val="24"/>
          <w:highlight w:val="none"/>
          <w:lang w:eastAsia="zh-CN"/>
        </w:rPr>
      </w:pPr>
    </w:p>
    <w:p w14:paraId="0F0E2EEE">
      <w:pPr>
        <w:spacing w:line="360" w:lineRule="auto"/>
        <w:rPr>
          <w:rFonts w:hint="default" w:ascii="Times New Roman" w:hAnsi="Times New Roman" w:eastAsia="宋体" w:cs="Times New Roman"/>
          <w:b w:val="0"/>
          <w:bCs w:val="0"/>
          <w:color w:val="auto"/>
          <w:kern w:val="2"/>
          <w:sz w:val="24"/>
          <w:szCs w:val="24"/>
          <w:lang w:val="en-US" w:eastAsia="zh-CN" w:bidi="ar-SA"/>
        </w:rPr>
      </w:pPr>
    </w:p>
    <w:p w14:paraId="6EC0DD71">
      <w:pPr>
        <w:pStyle w:val="5"/>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4"/>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483B48D8"/>
    <w:rsid w:val="49A26000"/>
    <w:rsid w:val="535518B1"/>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3">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Plain Text"/>
    <w:basedOn w:val="1"/>
    <w:qFormat/>
    <w:uiPriority w:val="99"/>
    <w:rPr>
      <w:rFonts w:ascii="宋体" w:hAnsi="Courier New"/>
      <w:kern w:val="0"/>
      <w:sz w:val="20"/>
      <w:szCs w:val="20"/>
    </w:rPr>
  </w:style>
  <w:style w:type="paragraph" w:styleId="6">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customStyle="1" w:styleId="9">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1340</Words>
  <Characters>1449</Characters>
  <Lines>0</Lines>
  <Paragraphs>0</Paragraphs>
  <TotalTime>0</TotalTime>
  <ScaleCrop>false</ScaleCrop>
  <LinksUpToDate>false</LinksUpToDate>
  <CharactersWithSpaces>1449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2024-11-26T02:15:18Z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44DD9D9B259942D19A2C39F89C959A2E_12</vt:lpwstr>
  </property>
</Properties>
</file>